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p>
      <w:pPr>
        <w:spacing w:line="64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推进公建公营敬老院运营服务能力提升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实施方案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为持续提升公建公营敬老院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运营服务能力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，结合我区实际，制定本实施方案。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Times New Roman" w:hAnsi="Times New Roman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auto"/>
          <w:kern w:val="2"/>
          <w:sz w:val="32"/>
          <w:szCs w:val="32"/>
          <w:lang w:val="en-US" w:eastAsia="zh-CN" w:bidi="ar-SA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坚持以人民为中心的发展理念，持续提升公建公营敬老院运营服务能力，不断增强入住老年人的获得感、幸福感、安全感。2024年底前，全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-SA"/>
        </w:rPr>
        <w:t>区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公建公营敬老院安全管理进一步规范，人员队伍进一步充实，护理能力进一步提升。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Times New Roman" w:hAnsi="Times New Roman" w:eastAsia="黑体" w:cs="黑体"/>
          <w:color w:val="auto"/>
          <w:kern w:val="2"/>
          <w:sz w:val="32"/>
          <w:szCs w:val="32"/>
          <w:lang w:eastAsia="zh-CN"/>
        </w:rPr>
        <w:t>工作任务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楷体_GB2312" w:cs="楷体_GB2312"/>
          <w:b/>
          <w:bCs/>
          <w:color w:val="auto"/>
          <w:kern w:val="2"/>
          <w:sz w:val="32"/>
          <w:szCs w:val="32"/>
          <w:lang w:val="en" w:eastAsia="zh-CN" w:bidi="ar-SA"/>
        </w:rPr>
        <w:t>提升</w:t>
      </w:r>
      <w:r>
        <w:rPr>
          <w:rFonts w:hint="eastAsia" w:ascii="Times New Roman" w:hAnsi="Times New Roman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安全管理水平。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各地应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强化公建公营敬老院安全生产和消防安全主体责任，落实消防、食品、服务等安全底线要求，加强内部管理规章制度建设。落实24小时值班巡查和定期安全检查制度，强化属地管理责任，定期开展安全检查，及时排除安全隐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楷体_GB2312" w:cs="楷体_GB2312"/>
          <w:b/>
          <w:bCs/>
          <w:color w:val="auto"/>
          <w:kern w:val="2"/>
          <w:sz w:val="32"/>
          <w:szCs w:val="32"/>
          <w:lang w:val="en" w:eastAsia="zh-CN" w:bidi="ar-SA"/>
        </w:rPr>
        <w:t>提升护理</w:t>
      </w:r>
      <w:r>
        <w:rPr>
          <w:rFonts w:hint="eastAsia" w:ascii="Times New Roman" w:hAnsi="Times New Roman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服务能力。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各地应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选优配强公建公营敬老院管理服务人员队伍，根据护理工作任务，合理配备必要的护理人员。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三是提升医疗服务能力。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各地应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充分利用乡镇卫生院、村居卫生室等医疗资源，为公建公营敬老院入住老年人提供基本医疗服务，逐步提升医养服务水平。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auto"/>
          <w:kern w:val="2"/>
          <w:sz w:val="32"/>
          <w:szCs w:val="32"/>
          <w:lang w:val="en-US" w:eastAsia="zh-CN" w:bidi="ar-SA"/>
        </w:rPr>
        <w:t>三、保障措施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val="en-US" w:eastAsia="zh-CN"/>
        </w:rPr>
        <w:t>（一）加强组织领导。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各地要加强对公建公营敬老院运营服务能力提升工作的领导，及时研究解决重大问题，不断完善推进机制。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val="en-US" w:eastAsia="zh-CN"/>
        </w:rPr>
        <w:t>（二）加强资金保障。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地应将公建公营敬老院所需经费纳入财政预算统筹保障，按时足额拨付公建公营敬老院的人员供养经费，研究确定机构工作人员的工资福利和日常办公经费标准，建立自然增长机制，根据财力和机构实际情况，有计划安排机构改造和设施设备购置维护经费等，确保机构有效运转。省级按照平均每年每院5万元标准给予补助，对于公建公营敬老院2024年内发生合并撤销、公建民营等情况不符合补助条件的，不予发放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YWM0NjRlOTllZTk3N2EzMDBlNTBkOTU4ZTQ0N2QifQ=="/>
  </w:docVars>
  <w:rsids>
    <w:rsidRoot w:val="00000000"/>
    <w:rsid w:val="77E2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99"/>
    <w:pPr>
      <w:widowControl/>
      <w:spacing w:before="150" w:after="150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2024-04-24T00:27:01Z</dcterms:created>
  <dc:creator>Administrator</dc:creator>
  <cp:lastModifiedBy>Administrator</cp:lastModifiedBy>
  <dcterms:modified xsi:type="dcterms:W3CDTF">2024-04-24T00:27:10Z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0DFC843F8428426B80C5DCDDED8F15F7_12</vt:lpwstr>
  </property>
</Properties>
</file>