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民保〔201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关于印发徽州区特困人员供养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及运行维护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民生工程项目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管理办法的通知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各乡镇人民政府，社区办: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为切实加强我区</w:t>
      </w:r>
      <w:r>
        <w:rPr>
          <w:rFonts w:hint="eastAsia" w:ascii="仿宋_GB2312" w:eastAsia="仿宋_GB2312"/>
          <w:sz w:val="32"/>
          <w:szCs w:val="32"/>
          <w:lang w:eastAsia="zh-CN"/>
        </w:rPr>
        <w:t>特困人员供养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特困人员供养</w:t>
      </w:r>
      <w:r>
        <w:rPr>
          <w:rFonts w:hint="eastAsia" w:ascii="仿宋_GB2312" w:eastAsia="仿宋_GB2312"/>
          <w:sz w:val="32"/>
          <w:szCs w:val="32"/>
        </w:rPr>
        <w:t>服务机构建设资金的管理,</w:t>
      </w:r>
      <w:r>
        <w:rPr>
          <w:rFonts w:hint="eastAsia" w:ascii="仿宋_GB2312" w:hAnsi="宋体" w:eastAsia="仿宋_GB2312"/>
          <w:sz w:val="32"/>
          <w:szCs w:val="32"/>
        </w:rPr>
        <w:t xml:space="preserve"> 现将修订后的《徽州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特困人员供养及机构运行维护民生工程项目</w:t>
      </w:r>
      <w:r>
        <w:rPr>
          <w:rFonts w:hint="eastAsia" w:ascii="仿宋_GB2312" w:eastAsia="仿宋_GB2312"/>
          <w:sz w:val="32"/>
          <w:szCs w:val="32"/>
        </w:rPr>
        <w:t>资金管理办法》印发给你们，请认真贯彻执行。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黄山市徽州区民政局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黄山市徽州区财政局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2019年7月29日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徽州区特困人员供养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及运行维护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民生工程项目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管理办法</w:t>
      </w:r>
    </w:p>
    <w:p>
      <w:pPr>
        <w:spacing w:line="6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进一步完善我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制度，提升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服务机构建后管养水平，规范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资金的筹集、管理和发放，确保民生工程顺利实施，根据《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农村五保供养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条例》，结合我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实际，制定本办法。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　第一条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及运行维护资金是保障农村五保对象供养需求的资金，主要用于解决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对象吃、穿、住、医、葬及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服务机构运行维护等方面的支出。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　第二条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及运行维护资金，按照民生工程资金筹措办法，在财政预算中安排。有农村集体经营等收入的地方，可以从农村集体经营等收入中安排资金，用于补助和改善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对象的生活。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对象将承包土地交由他人代耕的，其收益归该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对象所有。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　第三条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供养标准根据经济社会水平发展情况及地方财力，由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财政局、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民政局会同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提出方案，报市人民政府审批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　第四条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供养资金收入来源包括：上级财政补助资金、本级财政预算安排的资金、福利彩票公益金安排的资金、其他资金（含捐赠款、集体收入补贴、实物折款）和利息收入等。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供养资金支出包括：发放分散供养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的供养经费、集中转入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集中供养机构的供养及运行维护经费。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供养资金结余资金，只能用于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供养对象的动态管理和提高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供养标准所需经费。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第五条 为进一步规范全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服务机构运行维护管理，一类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服务机构综合定额补助标准不低于4800元/人·年；二类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服务机构综合定额补助标准不低于6000元/人·年；三类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特困人员供养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服务机构综合定额补助标准不低于7200元/人·年。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第六条 对于分散供养的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的发放，由区民政部门集中登记造册，经财政部门审核后，全部通过财政涉农资金“一卡通”发放到户。集中供养的五保供养资金的发放，由区民政部门汇总造册，经财政部门审核后，直接将资金划入集中供养机构，由集中供养机构统筹使用，使用情况要定期张榜公布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第七条 每年1月底之前，区应将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供养资金的收入、支出和结余情况，上报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财政局和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民政局。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第八条 在落实兑现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供养资金时，要考虑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供养对象有无承包土地等情况，采取分类施保。要优先确保没有土地收益的五保对象的生活。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第九条 区民政、财政部门要采取点面结合的方式，对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供养资金的使用情况进行监督检查。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第十条 要不断完善规章制度，对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特困人员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养资金的使用情况，实行公示制，接收群众监督。防止任何部门和单位平调、挤占、挪用和抵扣的现象发生。对在工作中做出显著成绩的单位和个人，人民政府或有关部门应当予以表彰、奖励；对违反本暂行办法，造成不良影响或严重后果的，应当严肃查处，追究有关责任人的责任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第十一条 本办法自发布之日起执行。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第十二条 本办法由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财政局、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民政局负责解释。</w:t>
      </w:r>
    </w:p>
    <w:p>
      <w:pPr>
        <w:spacing w:line="64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F3C2D"/>
    <w:rsid w:val="07870475"/>
    <w:rsid w:val="1F2B2820"/>
    <w:rsid w:val="2CBF3C2D"/>
    <w:rsid w:val="36D13B07"/>
    <w:rsid w:val="5022332A"/>
    <w:rsid w:val="53F743A3"/>
    <w:rsid w:val="7E42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2019-07-30T00:32:00Z</dcterms:created>
  <dc:creator>遗忘的秋天</dc:creator>
  <cp:lastModifiedBy>遗忘的秋天</cp:lastModifiedBy>
  <dcterms:modified xsi:type="dcterms:W3CDTF">2019-08-16T03:05:13Z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