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宋体" w:hAnsi="宋体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徽州区数据资源管理局政务云资源使用审批表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775" w:type="dxa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070"/>
        <w:gridCol w:w="384"/>
        <w:gridCol w:w="750"/>
        <w:gridCol w:w="1701"/>
        <w:gridCol w:w="851"/>
        <w:gridCol w:w="1390"/>
        <w:gridCol w:w="72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8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□机关单位           □事业单位           □其他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云资源类型</w:t>
            </w:r>
          </w:p>
        </w:tc>
        <w:tc>
          <w:tcPr>
            <w:tcW w:w="8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□政务云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技术对接人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7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需求背景描述：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textAlignment w:val="auto"/>
              <w:rPr>
                <w:rFonts w:ascii="Times New Roman" w:hAnsi="Times New Roman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5" w:hRule="atLeast"/>
        </w:trPr>
        <w:tc>
          <w:tcPr>
            <w:tcW w:w="97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申请单位承诺：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/>
                <w:szCs w:val="21"/>
              </w:rPr>
              <w:t>本单位清楚所申请的虚拟主机（公共存储）接入非涉密网，区政务云仅提供机房、网络和虚机空间环境，我单位保证自觉严格遵守《中华人民共和国网络安全法》《中华人民共和国计算机信息系统安全保护条例》《中华人民共和国计算机信息网络 国际联网管理暂行规定》《中华人民共和国计算机信息网络国际联网安全保护管理办法》等相关管理规定，保证该网站（应用系统）内容不涉密，也不涉及以上规定中严格禁止的内容，不利用该网站（应用系统）从事危害国家安全、泄露国家秘密等违法犯罪活动，不制作、传播妨碍社会治安的信息和淫秽色情等及其他违反宪法和法律、行政法规的信息，网站（应用系统）的维护、安全保密工作和ICP备案、等保备案均由我单位负责，并无条件服从数据中心统一管理。未经允许绝不卸载已安装的趋势杀毒软件，如若发现卸载杀毒软件可立刻停止虚机服务。对于申请资源的单位需要严格评估自身系统所需资源，如若出现资源利用率不足情况，数据中心有权收回资源或停止服务，并严格控制后期资源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880" w:firstLineChars="28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</w:tc>
        <w:tc>
          <w:tcPr>
            <w:tcW w:w="8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资源申请         □资源变更      □资源退出       □其他: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接入网络</w:t>
            </w:r>
          </w:p>
        </w:tc>
        <w:tc>
          <w:tcPr>
            <w:tcW w:w="8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□政务外网         □互联网        其他：附表：虚拟机资源申请表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资源类型</w:t>
            </w:r>
          </w:p>
        </w:tc>
        <w:tc>
          <w:tcPr>
            <w:tcW w:w="8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虚拟机           </w:t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公共存储   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公共存储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存储需求</w:t>
            </w:r>
          </w:p>
        </w:tc>
        <w:tc>
          <w:tcPr>
            <w:tcW w:w="66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空间大小：</w:t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T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存储类型</w:t>
            </w:r>
          </w:p>
        </w:tc>
        <w:tc>
          <w:tcPr>
            <w:tcW w:w="66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□数据库     □文件    □备份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7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（详细说明对虚拟机的CPU核数，内存、硬盘空间等性能要求、外网IP及端口策略、用途，</w:t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需进行数据备份的应单独列出备份资源需求，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若该栏不够填写，应以附件形式附后,附件需加盖单位公章）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6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管理和远程需求</w:t>
            </w:r>
          </w:p>
        </w:tc>
        <w:tc>
          <w:tcPr>
            <w:tcW w:w="8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7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数据管理股</w:t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初审意见: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签字: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97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领导审批意见：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签字: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7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运维部门处置意见：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签字: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center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598" w:rightChars="-285"/>
        <w:textAlignment w:val="auto"/>
        <w:rPr>
          <w:rFonts w:hint="eastAsia"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注：1.本办法适用于区内各级行政事业单位依托政务云建设、运行的非涉密政务信息化项目。区级政务云受理全区各级行政事业单位的资源申请</w:t>
      </w:r>
      <w:r>
        <w:rPr>
          <w:rFonts w:hint="eastAsia" w:ascii="Times New Roman" w:hAnsi="Times New Roman" w:eastAsia="仿宋_GB2312"/>
          <w:szCs w:val="21"/>
          <w:lang w:eastAsia="zh-CN"/>
        </w:rPr>
        <w:t>，</w:t>
      </w:r>
      <w:r>
        <w:rPr>
          <w:rFonts w:hint="eastAsia" w:ascii="Times New Roman" w:hAnsi="Times New Roman" w:eastAsia="仿宋_GB2312"/>
          <w:szCs w:val="21"/>
        </w:rPr>
        <w:t>服务范围为全区重大、重点信息化项目或经区数据资源局审核、硬件资源由区级政务云统筹安排的信息化项目。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598" w:rightChars="-285" w:firstLine="420" w:firstLineChars="200"/>
        <w:textAlignment w:val="auto"/>
        <w:rPr>
          <w:rFonts w:hint="eastAsia"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2.申请单位应合理使用所分配资源，虚拟机首次登</w:t>
      </w:r>
      <w:r>
        <w:rPr>
          <w:rFonts w:hint="eastAsia" w:ascii="Times New Roman" w:hAnsi="Times New Roman" w:eastAsia="仿宋_GB2312"/>
          <w:szCs w:val="21"/>
          <w:lang w:eastAsia="zh-CN"/>
        </w:rPr>
        <w:t>录</w:t>
      </w:r>
      <w:r>
        <w:rPr>
          <w:rFonts w:hint="eastAsia" w:ascii="Times New Roman" w:hAnsi="Times New Roman" w:eastAsia="仿宋_GB2312"/>
          <w:szCs w:val="21"/>
        </w:rPr>
        <w:t>后应及时修改密码，做好系统、数据安全管理，申请外部IP地址和开放端口的，应及时向区数据资源局报备。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598" w:rightChars="-285" w:firstLine="420" w:firstLineChars="200"/>
        <w:textAlignment w:val="auto"/>
        <w:rPr>
          <w:rFonts w:hint="eastAsia"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3.本表一式三份，纸质盖章后交区数据资源局，审批后区数据资源局、运维单位、申请单位各持一份。</w:t>
      </w:r>
    </w:p>
    <w:p>
      <w:pPr>
        <w:ind w:right="-598" w:rightChars="-285" w:firstLine="424" w:firstLineChars="202"/>
        <w:rPr>
          <w:rFonts w:hint="eastAsia" w:ascii="Times New Roman" w:hAnsi="Times New Roman" w:eastAsia="仿宋_GB2312"/>
          <w:szCs w:val="21"/>
        </w:rPr>
        <w:sectPr>
          <w:headerReference r:id="rId3" w:type="default"/>
          <w:footerReference r:id="rId4" w:type="default"/>
          <w:pgSz w:w="11906" w:h="16838"/>
          <w:pgMar w:top="1701" w:right="1474" w:bottom="1701" w:left="1474" w:header="851" w:footer="992" w:gutter="0"/>
          <w:pgNumType w:fmt="decimal"/>
          <w:cols w:space="0" w:num="1"/>
          <w:docGrid w:type="lines" w:linePitch="44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2" w:firstLineChars="200"/>
        <w:textAlignment w:val="auto"/>
        <w:outlineLvl w:val="0"/>
        <w:rPr>
          <w:rFonts w:ascii="宋体" w:hAnsi="宋体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附表：虚拟机资源表</w:t>
      </w: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73"/>
        <w:gridCol w:w="708"/>
        <w:gridCol w:w="851"/>
        <w:gridCol w:w="1134"/>
        <w:gridCol w:w="1134"/>
        <w:gridCol w:w="1701"/>
        <w:gridCol w:w="2551"/>
        <w:gridCol w:w="1418"/>
        <w:gridCol w:w="1276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647" w:type="dxa"/>
            <w:vMerge w:val="restart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3" w:type="dxa"/>
            <w:vMerge w:val="restart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  <w:tc>
          <w:tcPr>
            <w:tcW w:w="708" w:type="dxa"/>
            <w:vMerge w:val="restart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PU(</w:t>
            </w: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51" w:type="dxa"/>
            <w:vMerge w:val="restart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内存（GB）</w:t>
            </w:r>
          </w:p>
        </w:tc>
        <w:tc>
          <w:tcPr>
            <w:tcW w:w="2268" w:type="dxa"/>
            <w:gridSpan w:val="2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存储</w:t>
            </w:r>
          </w:p>
        </w:tc>
        <w:tc>
          <w:tcPr>
            <w:tcW w:w="1701" w:type="dxa"/>
            <w:vMerge w:val="restart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操作系统及版本</w:t>
            </w:r>
          </w:p>
        </w:tc>
        <w:tc>
          <w:tcPr>
            <w:tcW w:w="2551" w:type="dxa"/>
            <w:vMerge w:val="restart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网络需求</w:t>
            </w:r>
          </w:p>
        </w:tc>
        <w:tc>
          <w:tcPr>
            <w:tcW w:w="1418" w:type="dxa"/>
            <w:vMerge w:val="restart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所开端口</w:t>
            </w:r>
          </w:p>
        </w:tc>
        <w:tc>
          <w:tcPr>
            <w:tcW w:w="1276" w:type="dxa"/>
            <w:vMerge w:val="restart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</w:tc>
        <w:tc>
          <w:tcPr>
            <w:tcW w:w="1277" w:type="dxa"/>
            <w:vMerge w:val="restart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47" w:type="dxa"/>
            <w:vMerge w:val="continue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2" w:firstLineChars="20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Merge w:val="continue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2" w:firstLineChars="20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2" w:firstLineChars="20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2" w:firstLineChars="20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硬盘（GB）</w:t>
            </w:r>
          </w:p>
        </w:tc>
        <w:tc>
          <w:tcPr>
            <w:tcW w:w="1134" w:type="dxa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存储类型</w:t>
            </w:r>
          </w:p>
        </w:tc>
        <w:tc>
          <w:tcPr>
            <w:tcW w:w="1701" w:type="dxa"/>
            <w:vMerge w:val="continue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2" w:firstLineChars="20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2" w:firstLineChars="20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2" w:firstLineChars="20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2" w:firstLineChars="20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shd w:val="clear" w:color="auto" w:fill="DEEAF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2" w:firstLineChars="200"/>
              <w:jc w:val="center"/>
              <w:textAlignment w:val="auto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0" w:firstLineChars="20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textAlignment w:val="auto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□数据库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□文件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textAlignment w:val="auto"/>
              <w:rPr>
                <w:rFonts w:ascii="Times New Roman" w:hAnsi="Times New Roman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□政务外网 </w:t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党政专网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□行业专网 □互联网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 w:firstLineChars="200"/>
              <w:jc w:val="left"/>
              <w:textAlignment w:val="auto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00" w:firstLineChars="200"/>
              <w:jc w:val="center"/>
              <w:textAlignment w:val="auto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微软雅黑" w:hAnsi="微软雅黑" w:eastAsia="微软雅黑" w:cs="宋体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资源申请</w:t>
            </w:r>
            <w:r>
              <w:rPr>
                <w:rFonts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□资源变更□资源退出其他: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40" w:firstLineChars="20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 w:hAnsi="宋体"/>
        <w:color w:val="00000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YTM2YjAxYmU2NmRiZDViYzdkZWU1MmQ0YjQ0MTQifQ=="/>
  </w:docVars>
  <w:rsids>
    <w:rsidRoot w:val="00000000"/>
    <w:rsid w:val="55AA46DC"/>
    <w:rsid w:val="72C0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1115</Characters>
  <Lines>0</Lines>
  <Paragraphs>0</Paragraphs>
  <TotalTime>6</TotalTime>
  <ScaleCrop>false</ScaleCrop>
  <LinksUpToDate>false</LinksUpToDate>
  <CharactersWithSpaces>1709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Administrator.BF-20181120YVBE</dc:creator>
  <cp:lastModifiedBy>Administrator</cp:lastModifiedBy>
  <dcterms:modified xsi:type="dcterms:W3CDTF">2023-02-01T00:31:54Z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6F458C1AC073434294A71974F46492C7</vt:lpwstr>
  </property>
</Properties>
</file>