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639" w:type="dxa"/>
        <w:jc w:val="center"/>
        <w:tblBorders>
          <w:top w:val="none" w:color="auto" w:sz="0" w:space="0"/>
          <w:left w:val="none" w:color="auto" w:sz="0" w:space="0"/>
          <w:bottom w:val="thinThickSmall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nThickSmall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91" w:hRule="atLeast"/>
          <w:jc w:val="center"/>
        </w:trPr>
        <w:tc>
          <w:tcPr>
            <w:tcW w:w="9639" w:type="dxa"/>
            <w:noWrap w:val="0"/>
            <w:tcMar>
              <w:left w:w="284" w:type="dxa"/>
              <w:right w:w="284" w:type="dxa"/>
            </w:tcMar>
            <w:vAlign w:val="top"/>
          </w:tcPr>
          <w:p>
            <w:pPr>
              <w:snapToGrid w:val="0"/>
              <w:jc w:val="distribute"/>
              <w:rPr>
                <w:rFonts w:hint="eastAsia" w:ascii="黑体" w:hAnsi="宋体" w:eastAsia="黑体"/>
                <w:sz w:val="50"/>
                <w:szCs w:val="50"/>
              </w:rPr>
            </w:pPr>
            <w:r>
              <w:rPr>
                <w:rFonts w:hint="eastAsia" w:ascii="方正小标宋简体" w:eastAsia="方正小标宋简体"/>
                <w:color w:val="FF0000"/>
                <w:spacing w:val="50"/>
                <w:sz w:val="50"/>
                <w:szCs w:val="50"/>
              </w:rPr>
              <w:t>黄山市徽州区岩寺镇人民政府</w:t>
            </w:r>
          </w:p>
        </w:tc>
      </w:tr>
    </w:tbl>
    <w:p>
      <w:pPr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　　　　</w:t>
      </w:r>
      <w:r>
        <w:rPr>
          <w:rFonts w:hint="eastAsia" w:ascii="仿宋_GB2312" w:eastAsia="仿宋_GB2312"/>
          <w:sz w:val="32"/>
          <w:szCs w:val="32"/>
        </w:rPr>
        <w:t>岩政函〔202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岩寺镇202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农作物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秸秆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综合利用实施方案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各村（</w:t>
      </w:r>
      <w:r>
        <w:rPr>
          <w:rFonts w:hint="eastAsia" w:eastAsia="仿宋_GB2312"/>
          <w:sz w:val="32"/>
          <w:szCs w:val="32"/>
          <w:lang w:eastAsia="zh-CN"/>
        </w:rPr>
        <w:t>社区</w:t>
      </w:r>
      <w:r>
        <w:rPr>
          <w:rFonts w:hint="eastAsia" w:eastAsia="仿宋_GB2312"/>
          <w:sz w:val="32"/>
          <w:szCs w:val="32"/>
        </w:rPr>
        <w:t>）委</w:t>
      </w:r>
      <w:r>
        <w:rPr>
          <w:rFonts w:hint="eastAsia" w:eastAsia="仿宋_GB2312"/>
          <w:sz w:val="32"/>
          <w:szCs w:val="32"/>
          <w:lang w:eastAsia="zh-CN"/>
        </w:rPr>
        <w:t>员</w:t>
      </w:r>
      <w:r>
        <w:rPr>
          <w:rFonts w:hint="eastAsia" w:eastAsia="仿宋_GB2312"/>
          <w:sz w:val="32"/>
          <w:szCs w:val="32"/>
        </w:rPr>
        <w:t>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 w:cs="仿宋_GB2312"/>
          <w:sz w:val="32"/>
          <w:szCs w:val="32"/>
        </w:rPr>
      </w:pPr>
      <w:r>
        <w:rPr>
          <w:rFonts w:hint="default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为</w:t>
      </w:r>
      <w:r>
        <w:rPr>
          <w:rFonts w:ascii="仿宋" w:hAnsi="仿宋" w:eastAsia="仿宋" w:cs="仿宋"/>
          <w:color w:val="000000"/>
          <w:sz w:val="31"/>
          <w:szCs w:val="31"/>
        </w:rPr>
        <w:t>持续推</w:t>
      </w: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进全镇农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作物秸秆综合利用工作</w:t>
      </w:r>
      <w:r>
        <w:rPr>
          <w:rFonts w:hint="eastAsia" w:eastAsia="仿宋_GB2312" w:cs="仿宋_GB2312"/>
          <w:sz w:val="32"/>
          <w:szCs w:val="32"/>
        </w:rPr>
        <w:t>，</w:t>
      </w:r>
      <w:r>
        <w:rPr>
          <w:rFonts w:hint="eastAsia" w:eastAsia="仿宋_GB2312" w:cs="仿宋_GB2312"/>
          <w:sz w:val="32"/>
          <w:szCs w:val="32"/>
          <w:lang w:eastAsia="zh-CN"/>
        </w:rPr>
        <w:t>根据《徽州区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2024年农作物秸秆综合利用实施方案》文件要求，</w:t>
      </w:r>
      <w:r>
        <w:rPr>
          <w:rFonts w:hint="eastAsia" w:eastAsia="仿宋_GB2312" w:cs="仿宋_GB2312"/>
          <w:sz w:val="32"/>
          <w:szCs w:val="32"/>
        </w:rPr>
        <w:t>结合我镇实际，制定本</w:t>
      </w:r>
      <w:r>
        <w:rPr>
          <w:rFonts w:hint="eastAsia" w:eastAsia="仿宋_GB2312" w:cs="仿宋_GB2312"/>
          <w:sz w:val="32"/>
          <w:szCs w:val="32"/>
          <w:lang w:eastAsia="zh-CN"/>
        </w:rPr>
        <w:t>实施</w:t>
      </w:r>
      <w:r>
        <w:rPr>
          <w:rFonts w:hint="eastAsia" w:eastAsia="仿宋_GB2312" w:cs="仿宋_GB2312"/>
          <w:sz w:val="32"/>
          <w:szCs w:val="32"/>
        </w:rPr>
        <w:t>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eastAsia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eastAsia="黑体" w:cs="黑体"/>
          <w:color w:val="333333"/>
          <w:spacing w:val="8"/>
          <w:sz w:val="32"/>
          <w:szCs w:val="32"/>
          <w:shd w:val="clear" w:color="auto" w:fill="FFFFFF"/>
        </w:rPr>
        <w:t>一、目标任务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640"/>
        <w:jc w:val="both"/>
        <w:textAlignment w:val="auto"/>
        <w:rPr>
          <w:rFonts w:hint="eastAsia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扎实推进秸秆科学还田</w:t>
      </w:r>
      <w:r>
        <w:rPr>
          <w:rFonts w:hint="eastAsia" w:ascii="仿宋" w:hAnsi="仿宋" w:eastAsia="仿宋" w:cs="仿宋"/>
          <w:color w:val="000000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离田利用，完善秸秆收储运体系，培育壮大秸秆利用主体，强化典型示范引领，探索建立可推广、可持续的秸秆产业发展模式和秸秆高效利用机制，实现秸秆综合利用提质增效。</w:t>
      </w:r>
      <w:r>
        <w:rPr>
          <w:rFonts w:hint="eastAsia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2024年全镇秸秆综合利用率达94%以上，其中产业化利用量占秸秆综合利用总量比例达到54%以上；全镇年利用300吨以上秸秆综合利用主体达2个。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eastAsia="黑体" w:cs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eastAsia="黑体" w:cs="黑体"/>
          <w:color w:val="333333"/>
          <w:spacing w:val="8"/>
          <w:sz w:val="32"/>
          <w:szCs w:val="32"/>
          <w:shd w:val="clear" w:color="auto" w:fill="FFFFFF"/>
        </w:rPr>
        <w:t>实施内容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（一）推进秸秆还田离田。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优化秸秆机械化还、离田技术路线，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鼓励秸秆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覆盖茶园、果园、苗木等地表还田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引导农机专业合作组织积极开展秸秆机械化还、离田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社会化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服务作业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直接还田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作业时留茬高度要求小于25CM，要充分破碎，抛撒均匀，杜绝复烧现象发生。鼓励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结合实际创新秸秆利用模式，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采用积分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或物化补贴等多种方式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开展秸秆离田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，做到秸秆源头管控，最大限度减少秸秆焚烧风险。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b/>
          <w:bCs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提升秸秆产业化利用水平。</w:t>
      </w:r>
      <w:r>
        <w:rPr>
          <w:rFonts w:hint="eastAsia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鼓励村（居）</w:t>
      </w:r>
      <w:r>
        <w:rPr>
          <w:rFonts w:hint="default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就地、就近建设秸秆固化成型燃料生产点。</w:t>
      </w:r>
      <w:r>
        <w:rPr>
          <w:rFonts w:hint="eastAsia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依托黄山泰达环保公司、安徽永宸生物质燃料公司秸秆能源化利用，各地要把沿河、湖地区的枯树枝、杂草、落叶及无法处理的各类可燃性废弃物，组织农户运送到村内秸秆临时堆放点，由企业负责生产固化成型颗粒燃料或焚烧发电处理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0"/>
          <w:u w:color="000000"/>
          <w:lang w:val="en-US" w:eastAsia="zh-CN" w:bidi="ar-SA"/>
        </w:rPr>
        <w:t>结合中央财政秸秆综合利用重点县项目，</w:t>
      </w:r>
      <w:r>
        <w:rPr>
          <w:rFonts w:eastAsia="仿宋_GB2312"/>
          <w:sz w:val="32"/>
          <w:szCs w:val="32"/>
        </w:rPr>
        <w:t>突出支持肉牛产业发展</w:t>
      </w:r>
      <w:r>
        <w:rPr>
          <w:rFonts w:hint="eastAsia"/>
        </w:rPr>
        <w:t>，</w:t>
      </w:r>
      <w:r>
        <w:rPr>
          <w:rFonts w:eastAsia="仿宋_GB2312"/>
          <w:sz w:val="32"/>
          <w:szCs w:val="32"/>
        </w:rPr>
        <w:t>统筹</w:t>
      </w:r>
      <w:r>
        <w:rPr>
          <w:rFonts w:hint="eastAsia"/>
          <w:sz w:val="32"/>
          <w:szCs w:val="32"/>
          <w:lang w:eastAsia="zh-CN"/>
        </w:rPr>
        <w:t>项目资金</w:t>
      </w:r>
      <w:r>
        <w:rPr>
          <w:rFonts w:eastAsia="仿宋_GB2312"/>
          <w:sz w:val="32"/>
          <w:szCs w:val="32"/>
        </w:rPr>
        <w:t>用于秸秆“过腹”</w:t>
      </w:r>
      <w:r>
        <w:rPr>
          <w:rFonts w:hint="eastAsia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养牛，推广秸秆青贮、黄贮、氨化、微生物发酵技术。全镇2024年300吨以上规模化秸秆利用主体达2个。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-2" w:leftChars="0" w:firstLine="632" w:firstLineChars="0"/>
        <w:jc w:val="both"/>
        <w:textAlignment w:val="auto"/>
        <w:rPr>
          <w:rFonts w:hint="eastAsia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</w:pPr>
      <w:r>
        <w:rPr>
          <w:rFonts w:hint="eastAsia" w:ascii="Times New Roman" w:hAnsi="仿宋_GB2312" w:eastAsia="仿宋_GB2312" w:cs="Times New Roman"/>
          <w:b/>
          <w:bCs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完善秸秆收储体系。</w:t>
      </w:r>
      <w:r>
        <w:rPr>
          <w:rFonts w:hint="eastAsia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按照就近就地利用的原则，在秸秆产地半径合理区域内适当预留田块场地用于建设秸秆堆放点。打造专业化秸秆收储队伍，完善“强村公司+企业”收储模式，鼓励强村公司、社会力量和企业资本投入秸秆收储运体系建设，推动建立政府引导、企业和合作组织牵头、农户参与、市场化运作的秸秆收储服务体系。每个行政村建立不少于2处秸秆临时堆放点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每个堆放点要设立警示标识牌，</w:t>
      </w:r>
      <w:r>
        <w:rPr>
          <w:rFonts w:hint="eastAsia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在秸秆收储期间配备必要防火设备和管理人员，做好秸秆运转和安全生产工作。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（四）强化典型示范引领。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</w:rPr>
        <w:t>充分发挥村级农作物秸秆综合利用试点项目作用，把主要农作物秸秆及一般蔬菜秸秆、田间杂草等农业生产废弃物纳入收储范围，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</w:rPr>
        <w:t>确保秸秆收储运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</w:rPr>
        <w:t>渠道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</w:rPr>
        <w:t>畅通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</w:rPr>
        <w:t>。结合本地资源禀赋和发展需求，遴选一批秸秆产业化利用市场主体实施新项目，示范展示秸秆利用新技术新成果，推广应用可操作性强的秸秆利用模式。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eastAsia="黑体"/>
          <w:color w:val="333333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eastAsia="黑体" w:cs="黑体"/>
          <w:color w:val="333333"/>
          <w:spacing w:val="8"/>
          <w:sz w:val="32"/>
          <w:szCs w:val="32"/>
          <w:shd w:val="clear" w:color="auto" w:fill="FFFFFF"/>
        </w:rPr>
        <w:t>三、</w:t>
      </w:r>
      <w:r>
        <w:rPr>
          <w:rFonts w:hint="eastAsia" w:eastAsia="黑体" w:cs="黑体"/>
          <w:color w:val="333333"/>
          <w:spacing w:val="8"/>
          <w:sz w:val="32"/>
          <w:szCs w:val="32"/>
          <w:shd w:val="clear" w:color="auto" w:fill="FFFFFF"/>
          <w:lang w:eastAsia="zh-CN"/>
        </w:rPr>
        <w:t>奖补措施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. 秸秆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机械化还田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对实施秸秆机械化粉碎还田的，按照实际还田面积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10元/亩奖补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本项奖补资金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以乡镇为单位，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依据区生态环境分局书面通报的全年秸秆焚烧火点数≤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20个的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扣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1%、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≤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50个扣2%，≤100个扣3%奖补资金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绩效考核。全年火点数超过100个不予奖补，火点数为0全额奖补。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. 秸秆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收储运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奖补。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对乡镇统一组织实施秸秆离田的，按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实际离田面积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元/亩进行奖补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。在本区范围内年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收储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秸秆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（自然风干量，下同）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00吨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以上的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个人和主体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给与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300元/吨奖补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为避免重复报账，在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村级临时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收储点或经纪人等购买的秸秆不再享受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本项奖补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</w:rPr>
        <w:t>. 秸秆产业化利用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lang w:val="en-US" w:eastAsia="zh-CN"/>
        </w:rPr>
        <w:t>奖补。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对经区、乡镇认定年利用量达300吨（含300吨）以上的“秸秆变肉”及其他秸秆综合利用个人和主体，依据农作物秸秆产业化利用量给与60元/吨奖补。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eastAsia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eastAsia="黑体" w:cs="黑体"/>
          <w:color w:val="333333"/>
          <w:spacing w:val="8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eastAsia="黑体" w:cs="黑体"/>
          <w:color w:val="333333"/>
          <w:spacing w:val="8"/>
          <w:sz w:val="32"/>
          <w:szCs w:val="32"/>
          <w:shd w:val="clear" w:color="auto" w:fill="FFFFFF"/>
        </w:rPr>
        <w:t>、</w:t>
      </w:r>
      <w:r>
        <w:rPr>
          <w:rFonts w:hint="eastAsia" w:eastAsia="黑体" w:cs="黑体"/>
          <w:color w:val="333333"/>
          <w:spacing w:val="8"/>
          <w:sz w:val="32"/>
          <w:szCs w:val="32"/>
          <w:shd w:val="clear" w:color="auto" w:fill="FFFFFF"/>
          <w:lang w:eastAsia="zh-CN"/>
        </w:rPr>
        <w:t>保障</w:t>
      </w:r>
      <w:r>
        <w:rPr>
          <w:rFonts w:hint="eastAsia" w:eastAsia="黑体" w:cs="黑体"/>
          <w:color w:val="333333"/>
          <w:spacing w:val="8"/>
          <w:sz w:val="32"/>
          <w:szCs w:val="32"/>
          <w:shd w:val="clear" w:color="auto" w:fill="FFFFFF"/>
        </w:rPr>
        <w:t>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1.</w:t>
      </w:r>
      <w:r>
        <w:rPr>
          <w:rFonts w:hint="eastAsia" w:eastAsia="楷体_GB2312" w:cs="楷体_GB2312"/>
          <w:b/>
          <w:bCs/>
          <w:sz w:val="32"/>
          <w:szCs w:val="32"/>
        </w:rPr>
        <w:t>强化组织领导。</w:t>
      </w:r>
      <w:r>
        <w:rPr>
          <w:rFonts w:hint="eastAsia" w:eastAsia="仿宋_GB2312" w:cs="仿宋_GB2312"/>
          <w:sz w:val="32"/>
          <w:szCs w:val="32"/>
        </w:rPr>
        <w:t>按照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 w:cs="仿宋_GB2312"/>
          <w:sz w:val="32"/>
          <w:szCs w:val="32"/>
        </w:rPr>
        <w:t>党政同责、一岗双责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 w:cs="仿宋_GB2312"/>
          <w:sz w:val="32"/>
          <w:szCs w:val="32"/>
        </w:rPr>
        <w:t>和网格化管理要求，镇政府成立由书记、镇长任组长，其他副科以上领导为成员的秸秆禁烧和综合利用工作领导小组，负责全镇秸秆禁烧和综合利用工作。各村（居）要结合实际制定切实可行的禁烧巡查和综合利用方案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前各村（居）将方案报至童文花处。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eastAsia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2.</w:t>
      </w:r>
      <w:r>
        <w:rPr>
          <w:rFonts w:hint="eastAsia" w:eastAsia="楷体_GB2312"/>
          <w:b/>
          <w:bCs/>
          <w:sz w:val="32"/>
          <w:szCs w:val="32"/>
          <w:lang w:val="en-US" w:eastAsia="zh-CN"/>
        </w:rPr>
        <w:t>营造舆论氛围。</w:t>
      </w:r>
      <w:r>
        <w:rPr>
          <w:rFonts w:hint="eastAsia" w:eastAsia="仿宋_GB2312" w:cs="仿宋_GB2312"/>
          <w:sz w:val="32"/>
          <w:szCs w:val="32"/>
        </w:rPr>
        <w:t>各村（居）要通过干部入户宣传、发放《关于秸秆禁烧与综合利用致全镇广大农民朋友的一封信》，在主要路段、村民集中居住点悬挂禁烧和综合利用标语、组织宣传车辆、利用应急广播、移动喇叭、电子显示屏等方式宣传秸秆禁烧有关政策，以及秸秆综合利用技术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default" w:ascii="Times New Roman" w:hAnsi="仿宋_GB2312" w:eastAsia="仿宋_GB2312" w:cs="Times New Roman"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营造农作物秸秆禁烧和综合利用的浓厚氛围</w:t>
      </w:r>
      <w:r>
        <w:rPr>
          <w:rFonts w:hint="eastAsia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kern w:val="0"/>
          <w:sz w:val="32"/>
          <w:szCs w:val="32"/>
          <w:u w:color="000000"/>
          <w:lang w:val="en-US" w:eastAsia="zh-CN" w:bidi="ar-SA"/>
        </w:rPr>
        <w:t>3.</w:t>
      </w:r>
      <w:r>
        <w:rPr>
          <w:rFonts w:hint="eastAsia" w:eastAsia="楷体_GB2312" w:cs="楷体_GB2312"/>
          <w:b/>
          <w:bCs/>
          <w:sz w:val="32"/>
          <w:szCs w:val="32"/>
        </w:rPr>
        <w:t>强化源头管控。</w:t>
      </w:r>
      <w:r>
        <w:rPr>
          <w:rFonts w:hint="eastAsia" w:eastAsia="仿宋_GB2312" w:cs="仿宋_GB2312"/>
          <w:sz w:val="32"/>
          <w:szCs w:val="32"/>
        </w:rPr>
        <w:t>各村（居）要切实做好“堵疏结合”工作，</w:t>
      </w:r>
      <w:r>
        <w:rPr>
          <w:rFonts w:eastAsia="仿宋_GB2312"/>
          <w:sz w:val="32"/>
          <w:szCs w:val="32"/>
        </w:rPr>
        <w:t>加强秸秆</w:t>
      </w:r>
      <w:r>
        <w:rPr>
          <w:rFonts w:hint="eastAsia" w:eastAsia="仿宋_GB2312" w:cs="仿宋_GB2312"/>
          <w:sz w:val="32"/>
          <w:szCs w:val="32"/>
        </w:rPr>
        <w:t>综合</w:t>
      </w:r>
      <w:r>
        <w:rPr>
          <w:rFonts w:eastAsia="仿宋_GB2312"/>
          <w:sz w:val="32"/>
          <w:szCs w:val="32"/>
        </w:rPr>
        <w:t>利用政策宣传，</w:t>
      </w:r>
      <w:r>
        <w:rPr>
          <w:rFonts w:hint="eastAsia" w:eastAsia="仿宋_GB2312" w:cs="仿宋_GB2312"/>
          <w:sz w:val="32"/>
          <w:szCs w:val="32"/>
        </w:rPr>
        <w:t>计划集中收储的村（居）根据实际选择2个便于运输的秸秆临时堆放点，堆放地点于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 w:cs="仿宋_GB2312"/>
          <w:sz w:val="32"/>
          <w:szCs w:val="32"/>
        </w:rPr>
        <w:t>日前报至童文花处；油菜秸秆由农户自行运至临时堆放点，镇政府给予农户</w:t>
      </w:r>
      <w:r>
        <w:rPr>
          <w:rFonts w:hint="eastAsia" w:eastAsia="仿宋_GB2312" w:cs="仿宋_GB2312"/>
          <w:sz w:val="32"/>
          <w:szCs w:val="32"/>
          <w:lang w:eastAsia="zh-CN"/>
        </w:rPr>
        <w:t>适当</w:t>
      </w:r>
      <w:r>
        <w:rPr>
          <w:rFonts w:hint="eastAsia" w:eastAsia="仿宋_GB2312" w:cs="仿宋_GB2312"/>
          <w:sz w:val="32"/>
          <w:szCs w:val="32"/>
        </w:rPr>
        <w:t>补助，各村居要安排1名两委干部负责面积统计，杜绝弄虚作假；临时堆放点可以聘用1-2名工作人员负责秸秆堆放和值守；秸秆由安徽永宸生物质燃料有限公司负责到各村（居）临时堆放点集中运送，各村（居）切实担负起秸秆离田收集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2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3840" w:firstLineChars="1200"/>
        <w:textAlignment w:val="auto"/>
        <w:rPr>
          <w:rFonts w:eastAsia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黄山市徽州区岩寺镇人民政府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 w:cs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hAnsi="仿宋_GB2312" w:eastAsia="仿宋_GB2312" w:cs="仿宋_GB2312"/>
          <w:sz w:val="32"/>
          <w:szCs w:val="32"/>
        </w:rPr>
        <w:t>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  <w:rPr>
          <w:rFonts w:hint="eastAsia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  <w:rPr>
          <w:rFonts w:hint="eastAsia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  <w:rPr>
          <w:rFonts w:hint="eastAsia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  <w:rPr>
          <w:rFonts w:hint="eastAsia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  <w:rPr>
          <w:rFonts w:hint="eastAsia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/>
        <w:textAlignment w:val="auto"/>
        <w:rPr>
          <w:rFonts w:hint="eastAsia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抄送：区农业农村局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06607"/>
    <w:multiLevelType w:val="singleLevel"/>
    <w:tmpl w:val="E94066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dit="forms"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NmZkNDBlY2Q5MGNhYzhhZTRhMzNlY2E3YWRiZDUifQ=="/>
  </w:docVars>
  <w:rsids>
    <w:rsidRoot w:val="003B4363"/>
    <w:rsid w:val="00036AFD"/>
    <w:rsid w:val="00042F5D"/>
    <w:rsid w:val="00057E90"/>
    <w:rsid w:val="00091A22"/>
    <w:rsid w:val="000A7C8F"/>
    <w:rsid w:val="000C0B85"/>
    <w:rsid w:val="00125568"/>
    <w:rsid w:val="00140FC4"/>
    <w:rsid w:val="00191900"/>
    <w:rsid w:val="001A13A3"/>
    <w:rsid w:val="001A734E"/>
    <w:rsid w:val="001A7FB6"/>
    <w:rsid w:val="001B02C8"/>
    <w:rsid w:val="001D36B0"/>
    <w:rsid w:val="002459DC"/>
    <w:rsid w:val="002609B9"/>
    <w:rsid w:val="002639CE"/>
    <w:rsid w:val="002765B4"/>
    <w:rsid w:val="002B2D17"/>
    <w:rsid w:val="002C02A4"/>
    <w:rsid w:val="002C48EA"/>
    <w:rsid w:val="002C59DE"/>
    <w:rsid w:val="00300FC8"/>
    <w:rsid w:val="00304567"/>
    <w:rsid w:val="00304A5B"/>
    <w:rsid w:val="00350BA3"/>
    <w:rsid w:val="00356D00"/>
    <w:rsid w:val="003722F9"/>
    <w:rsid w:val="00380E49"/>
    <w:rsid w:val="00393A1F"/>
    <w:rsid w:val="003A181A"/>
    <w:rsid w:val="003A3D58"/>
    <w:rsid w:val="003B4363"/>
    <w:rsid w:val="0041793D"/>
    <w:rsid w:val="004327CD"/>
    <w:rsid w:val="00450964"/>
    <w:rsid w:val="00455946"/>
    <w:rsid w:val="00463BC5"/>
    <w:rsid w:val="004A1D22"/>
    <w:rsid w:val="004B53BD"/>
    <w:rsid w:val="004E544A"/>
    <w:rsid w:val="005040F9"/>
    <w:rsid w:val="005221DE"/>
    <w:rsid w:val="005253B7"/>
    <w:rsid w:val="00550FDC"/>
    <w:rsid w:val="00573DDF"/>
    <w:rsid w:val="005E2370"/>
    <w:rsid w:val="00650CC8"/>
    <w:rsid w:val="0068174E"/>
    <w:rsid w:val="006C4AC2"/>
    <w:rsid w:val="007015D6"/>
    <w:rsid w:val="00724D29"/>
    <w:rsid w:val="00777B8A"/>
    <w:rsid w:val="00796D15"/>
    <w:rsid w:val="007A39EF"/>
    <w:rsid w:val="007A599F"/>
    <w:rsid w:val="007B0896"/>
    <w:rsid w:val="007E1888"/>
    <w:rsid w:val="0080798C"/>
    <w:rsid w:val="00843552"/>
    <w:rsid w:val="00856FEB"/>
    <w:rsid w:val="0089177F"/>
    <w:rsid w:val="00895407"/>
    <w:rsid w:val="008A5CF9"/>
    <w:rsid w:val="009A338F"/>
    <w:rsid w:val="00A5003C"/>
    <w:rsid w:val="00A9322B"/>
    <w:rsid w:val="00AA167D"/>
    <w:rsid w:val="00AB6FB8"/>
    <w:rsid w:val="00B728BE"/>
    <w:rsid w:val="00BA6314"/>
    <w:rsid w:val="00BA631C"/>
    <w:rsid w:val="00C845AF"/>
    <w:rsid w:val="00C925F8"/>
    <w:rsid w:val="00CA5726"/>
    <w:rsid w:val="00D23741"/>
    <w:rsid w:val="00D87C25"/>
    <w:rsid w:val="00DD2A8A"/>
    <w:rsid w:val="00E21225"/>
    <w:rsid w:val="00E378D0"/>
    <w:rsid w:val="00E55E38"/>
    <w:rsid w:val="00EA67B5"/>
    <w:rsid w:val="00EF4EA7"/>
    <w:rsid w:val="00F271E3"/>
    <w:rsid w:val="00F7582D"/>
    <w:rsid w:val="00FA0219"/>
    <w:rsid w:val="01D4579C"/>
    <w:rsid w:val="08111D5C"/>
    <w:rsid w:val="11BD2ADD"/>
    <w:rsid w:val="1A211DD4"/>
    <w:rsid w:val="213259E2"/>
    <w:rsid w:val="25484BC3"/>
    <w:rsid w:val="29A256E2"/>
    <w:rsid w:val="30B72D9B"/>
    <w:rsid w:val="33E8619B"/>
    <w:rsid w:val="365C03F2"/>
    <w:rsid w:val="36936969"/>
    <w:rsid w:val="39B426A2"/>
    <w:rsid w:val="39F39E99"/>
    <w:rsid w:val="3DFC7570"/>
    <w:rsid w:val="4077426A"/>
    <w:rsid w:val="414E0C0D"/>
    <w:rsid w:val="52E75035"/>
    <w:rsid w:val="570946A7"/>
    <w:rsid w:val="5AFE68A2"/>
    <w:rsid w:val="5B6E24A9"/>
    <w:rsid w:val="5E59540C"/>
    <w:rsid w:val="5FFDCF0A"/>
    <w:rsid w:val="614831EE"/>
    <w:rsid w:val="6AF62A3C"/>
    <w:rsid w:val="76473C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firstLine="0" w:firstLineChars="0"/>
      <w:jc w:val="left"/>
    </w:pPr>
    <w:rPr>
      <w:rFonts w:ascii="Noto Sans Mono CJK JP Regular" w:hAnsi="Noto Sans Mono CJK JP Regular" w:eastAsia="Noto Sans Mono CJK JP Regular" w:cs="Noto Sans Mono CJK JP Regular"/>
      <w:kern w:val="0"/>
      <w:szCs w:val="28"/>
      <w:lang w:val="zh-CN" w:bidi="zh-CN"/>
    </w:rPr>
  </w:style>
  <w:style w:type="paragraph" w:customStyle="1" w:styleId="3">
    <w:name w:val="目录 71"/>
    <w:basedOn w:val="1"/>
    <w:next w:val="1"/>
    <w:qFormat/>
    <w:uiPriority w:val="0"/>
    <w:pPr>
      <w:ind w:left="252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7"/>
    <w:basedOn w:val="1"/>
    <w:next w:val="1"/>
    <w:qFormat/>
    <w:uiPriority w:val="0"/>
    <w:pPr>
      <w:ind w:left="2520"/>
    </w:p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customStyle="1" w:styleId="12">
    <w:name w:val="页眉 Char"/>
    <w:basedOn w:val="10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basedOn w:val="10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4</Pages>
  <Words>1707</Words>
  <Characters>1756</Characters>
  <Lines>18</Lines>
  <Paragraphs>5</Paragraphs>
  <TotalTime>1</TotalTime>
  <ScaleCrop>false</ScaleCrop>
  <LinksUpToDate>false</LinksUpToDate>
  <CharactersWithSpaces>1817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2022-04-24T18:11:00Z</dcterms:created>
  <dc:creator>china</dc:creator>
  <cp:lastModifiedBy>hss</cp:lastModifiedBy>
  <cp:lastPrinted>2024-04-25T00:12:00Z</cp:lastPrinted>
  <dcterms:modified xsi:type="dcterms:W3CDTF">2024-04-29T10:36:27Z</dcterms:modified>
  <dc:title>黄山市徽州区岩寺镇人民政府文件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0D82A624B9F04564BD1DE1753711B2C0</vt:lpwstr>
  </property>
  <property fmtid="{D5CDD505-2E9C-101B-9397-08002B2CF9AE}" pid="4" name="commondata">
    <vt:lpwstr>eyJoZGlkIjoiNmMwNmViYTFmNTJhOTg3YTAzMWVjNzNjZDZmOGMyNTAifQ==</vt:lpwstr>
  </property>
</Properties>
</file>