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i w:val="0"/>
          <w:iCs w:val="0"/>
          <w:caps w:val="0"/>
          <w:color w:val="333333"/>
          <w:spacing w:val="0"/>
          <w:sz w:val="44"/>
          <w:szCs w:val="44"/>
          <w:shd w:val="clear" w:fill="FFFFFF"/>
        </w:rPr>
        <w:t>关于印发《黄山市徽州区“信易+教育”工作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方案（试行）》的通知</w:t>
      </w:r>
    </w:p>
    <w:bookmarkEnd w:id="0"/>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sz w:val="32"/>
          <w:szCs w:val="32"/>
          <w:shd w:val="clear" w:fill="FFFFFF"/>
        </w:rPr>
        <w:t>徽教字〔2021〕94号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各乡、镇人民政府，区社会信用体系建设领导小组成员单位：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为协同推进我区社会信用体系建设和教育事业发展，决定开展“信易+教育”工作，现将《黄山市徽州区“信易+教育”工作方案（试行）》印发给你们，请结合实际抓好落实。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黄山市徽州区教育局    黄山市徽州区社会信用体系建设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领导小组办公室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2021年11月30日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黄山市徽州区“信易</w:t>
      </w:r>
      <w:r>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教育”工作方案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（试行）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为贯彻落实黄山市徽州区社会信用体系建设工作部署，深入推进黄山市徽州区社会信用体系建设工作，积极营造“守信有益、信用有价”的社会氛围，提升公众对信用红利的获得感和幸福感，特制定本方案。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ascii="黑体" w:hAnsi="宋体" w:eastAsia="黑体" w:cs="黑体"/>
          <w:i w:val="0"/>
          <w:iCs w:val="0"/>
          <w:caps w:val="0"/>
          <w:color w:val="333333"/>
          <w:spacing w:val="0"/>
          <w:kern w:val="0"/>
          <w:sz w:val="32"/>
          <w:szCs w:val="32"/>
          <w:shd w:val="clear" w:fill="FFFFFF"/>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根据《国务院关于建立完善守信联合激励和失信惩戒制度加快推进社会诚信建设的指导意见》（国发〔</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2016</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33</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号）等文件精神，按照《黄山市徽州区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2021</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年社会信用体系建设工作要点》要求，以信用惠民为抓手，以教育领域为阵地，积极探索创新信用场景应用。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黑体" w:hAnsi="宋体" w:eastAsia="黑体" w:cs="黑体"/>
          <w:i w:val="0"/>
          <w:iCs w:val="0"/>
          <w:caps w:val="0"/>
          <w:color w:val="333333"/>
          <w:spacing w:val="0"/>
          <w:kern w:val="0"/>
          <w:sz w:val="32"/>
          <w:szCs w:val="32"/>
          <w:shd w:val="clear" w:fill="FFFFFF"/>
          <w:lang w:val="en-US" w:eastAsia="zh-CN" w:bidi="ar"/>
        </w:rPr>
        <w:t>二、工作目标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通过开展“信易</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教育”工作，健全教育系统守信激励机制，不断提升教育服务水平。同时，以子女教育便利激励公众主动塑造诚实守信等良好品质，打造和谐有序的社会环境。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黑体" w:hAnsi="宋体" w:eastAsia="黑体" w:cs="黑体"/>
          <w:i w:val="0"/>
          <w:iCs w:val="0"/>
          <w:caps w:val="0"/>
          <w:color w:val="333333"/>
          <w:spacing w:val="0"/>
          <w:kern w:val="0"/>
          <w:sz w:val="32"/>
          <w:szCs w:val="32"/>
          <w:shd w:val="clear" w:fill="FFFFFF"/>
          <w:lang w:val="en-US" w:eastAsia="zh-CN" w:bidi="ar"/>
        </w:rPr>
        <w:t>三、主要内容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jc w:val="left"/>
        <w:textAlignment w:val="auto"/>
      </w:pPr>
      <w:r>
        <w:rPr>
          <w:rFonts w:ascii="楷体_GB2312" w:hAnsi="微软雅黑" w:eastAsia="楷体_GB2312" w:cs="楷体_GB2312"/>
          <w:b/>
          <w:bCs/>
          <w:i w:val="0"/>
          <w:iCs w:val="0"/>
          <w:caps w:val="0"/>
          <w:color w:val="333333"/>
          <w:spacing w:val="0"/>
          <w:kern w:val="0"/>
          <w:sz w:val="32"/>
          <w:szCs w:val="32"/>
          <w:shd w:val="clear" w:fill="FFFFFF"/>
          <w:lang w:val="en-US" w:eastAsia="zh-CN" w:bidi="ar"/>
        </w:rPr>
        <w:t>（</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一）激励对象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我区全国、省、市、区级道德模范（含提名奖） 获得者以及“中国好人”“安徽好人”“黄山好人”“徽州好人”荣誉称号获得者。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jc w:val="left"/>
        <w:textAlignment w:val="auto"/>
      </w:pP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（二）具体优惠内容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本方案激励对象本人子女享有青少年活动中心减免</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学费优惠。（具体优惠课程为青少年活动中心设置的课程）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黑体" w:hAnsi="宋体" w:eastAsia="黑体" w:cs="黑体"/>
          <w:i w:val="0"/>
          <w:iCs w:val="0"/>
          <w:caps w:val="0"/>
          <w:color w:val="333333"/>
          <w:spacing w:val="0"/>
          <w:kern w:val="0"/>
          <w:sz w:val="32"/>
          <w:szCs w:val="32"/>
          <w:shd w:val="clear" w:fill="FFFFFF"/>
          <w:lang w:val="en-US" w:eastAsia="zh-CN" w:bidi="ar"/>
        </w:rPr>
        <w:t>四、有关要求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教育</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局负责督导</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青少年活动中心</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信易</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教育</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工作，</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活动中心</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给予相应的</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报名</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优惠，并做好登记统计工作。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各地各单位要广泛开展</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信易</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教育</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活动宣传，让广大居民了解</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信易</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教育</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守信激励政策，促进信用体系建设与</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教育事业</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协同发展，形成良好的社会氛围。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方案试行期间，</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先期</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青少年活动中心</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为依托开展，试行期一年。后期根据</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信易</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教育</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情况适时</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调整。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4</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本方案自</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日起实施。</w:t>
      </w:r>
    </w:p>
    <w:p>
      <w:pPr>
        <w:pStyle w:val="2"/>
        <w:pageBreakBefore w:val="0"/>
        <w:kinsoku/>
        <w:wordWrap/>
        <w:overflowPunct/>
        <w:topLinePunct w:val="0"/>
        <w:autoSpaceDE/>
        <w:autoSpaceDN/>
        <w:bidi w:val="0"/>
        <w:adjustRightInd/>
        <w:snapToGrid/>
        <w:spacing w:before="0" w:after="0" w:line="560" w:lineRule="exact"/>
        <w:textAlignment w:val="auto"/>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p>
    <w:p>
      <w:pPr>
        <w:pageBreakBefore w:val="0"/>
        <w:kinsoku/>
        <w:wordWrap/>
        <w:overflowPunct/>
        <w:topLinePunct w:val="0"/>
        <w:autoSpaceDE/>
        <w:autoSpaceDN/>
        <w:bidi w:val="0"/>
        <w:adjustRightInd/>
        <w:snapToGrid/>
        <w:spacing w:line="560" w:lineRule="exact"/>
        <w:textAlignment w:val="auto"/>
        <w:rPr>
          <w:rFonts w:hint="eastAsia"/>
          <w:lang w:val="en-US" w:eastAsia="zh-CN"/>
        </w:rPr>
      </w:pPr>
    </w:p>
    <w:sectPr>
      <w:headerReference r:id="rId4" w:type="first"/>
      <w:footerReference r:id="rId6" w:type="first"/>
      <w:headerReference r:id="rId3" w:type="default"/>
      <w:footerReference r:id="rId5" w:type="default"/>
      <w:pgSz w:w="11906" w:h="16838"/>
      <w:pgMar w:top="2098" w:right="1474" w:bottom="1701" w:left="1474" w:header="851" w:footer="992" w:gutter="0"/>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汉仪旗黑-55S">
    <w:panose1 w:val="00020600040101010101"/>
    <w:charset w:val="86"/>
    <w:family w:val="auto"/>
    <w:pitch w:val="default"/>
    <w:sig w:usb0="A00002BF" w:usb1="18EF7CFA" w:usb2="00000016" w:usb3="00000000" w:csb0="00040000" w:csb1="00000000"/>
  </w:font>
  <w:font w:name="华文仿宋">
    <w:panose1 w:val="02010600040101010101"/>
    <w:charset w:val="86"/>
    <w:family w:val="auto"/>
    <w:pitch w:val="default"/>
    <w:sig w:usb0="00000287" w:usb1="080F0000" w:usb2="00000000" w:usb3="00000000" w:csb0="0004009F" w:csb1="DFD70000"/>
  </w:font>
  <w:font w:name="汉仪旗黑-55">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olor w:val="000000"/>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716BC"/>
    <w:multiLevelType w:val="singleLevel"/>
    <w:tmpl w:val="E87716BC"/>
    <w:lvl w:ilvl="0" w:tentative="0">
      <w:start w:val="1"/>
      <w:numFmt w:val="decimal"/>
      <w:pStyle w:val="18"/>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476D29"/>
    <w:rsid w:val="05B670BC"/>
    <w:rsid w:val="09856764"/>
    <w:rsid w:val="110807C2"/>
    <w:rsid w:val="13B16CE7"/>
    <w:rsid w:val="19BD124E"/>
    <w:rsid w:val="22F10EAE"/>
    <w:rsid w:val="24A872E8"/>
    <w:rsid w:val="271F52BC"/>
    <w:rsid w:val="284A67C5"/>
    <w:rsid w:val="2B130527"/>
    <w:rsid w:val="2CAD3406"/>
    <w:rsid w:val="34AB5543"/>
    <w:rsid w:val="37392E4E"/>
    <w:rsid w:val="37734B69"/>
    <w:rsid w:val="39C51C40"/>
    <w:rsid w:val="41BA7C9A"/>
    <w:rsid w:val="44905470"/>
    <w:rsid w:val="473A3DBF"/>
    <w:rsid w:val="49DD41A1"/>
    <w:rsid w:val="4B370D1D"/>
    <w:rsid w:val="4B412124"/>
    <w:rsid w:val="55104A18"/>
    <w:rsid w:val="598B5E85"/>
    <w:rsid w:val="5BD63167"/>
    <w:rsid w:val="681D6928"/>
    <w:rsid w:val="6D1C7955"/>
    <w:rsid w:val="72897D89"/>
    <w:rsid w:val="74D42DF8"/>
    <w:rsid w:val="76D0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
    <w:pPr>
      <w:keepNext/>
      <w:keepLines/>
      <w:spacing w:before="40"/>
      <w:outlineLvl w:val="2"/>
    </w:pPr>
    <w:rPr>
      <w:rFonts w:ascii="Calibri Light" w:hAnsi="Calibri Light"/>
      <w:color w:val="1F4E79"/>
      <w:sz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0"/>
    <w:pPr>
      <w:spacing w:after="120"/>
    </w:pPr>
  </w:style>
  <w:style w:type="paragraph" w:styleId="6">
    <w:name w:val="toc 3"/>
    <w:basedOn w:val="1"/>
    <w:next w:val="1"/>
    <w:qFormat/>
    <w:uiPriority w:val="0"/>
    <w:pPr>
      <w:ind w:left="840" w:leftChars="400"/>
    </w:pPr>
  </w:style>
  <w:style w:type="paragraph" w:styleId="7">
    <w:name w:val="Body Text Indent 2"/>
    <w:basedOn w:val="1"/>
    <w:unhideWhenUsed/>
    <w:qFormat/>
    <w:uiPriority w:val="99"/>
    <w:pPr>
      <w:spacing w:line="590" w:lineRule="exact"/>
      <w:ind w:firstLine="880" w:firstLineChars="200"/>
    </w:pPr>
    <w:rPr>
      <w:rFonts w:ascii="Times New Roman" w:hAnsi="Times New Roman" w:eastAsia="方正仿宋_GBK" w:cs="Times New Roman"/>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qFormat/>
    <w:uiPriority w:val="0"/>
    <w:pPr>
      <w:jc w:val="center"/>
      <w:outlineLvl w:val="0"/>
    </w:pPr>
    <w:rPr>
      <w:rFonts w:ascii="Arial" w:hAnsi="Arial"/>
      <w:b/>
    </w:rPr>
  </w:style>
  <w:style w:type="paragraph" w:styleId="14">
    <w:name w:val="Body Text First Indent"/>
    <w:basedOn w:val="5"/>
    <w:unhideWhenUsed/>
    <w:qFormat/>
    <w:uiPriority w:val="99"/>
    <w:pPr>
      <w:ind w:firstLine="420" w:firstLineChars="100"/>
    </w:pPr>
  </w:style>
  <w:style w:type="character" w:styleId="17">
    <w:name w:val="page number"/>
    <w:basedOn w:val="16"/>
    <w:qFormat/>
    <w:uiPriority w:val="0"/>
  </w:style>
  <w:style w:type="paragraph" w:customStyle="1" w:styleId="18">
    <w:name w:val="样式4"/>
    <w:basedOn w:val="1"/>
    <w:qFormat/>
    <w:uiPriority w:val="0"/>
    <w:pPr>
      <w:numPr>
        <w:ilvl w:val="0"/>
        <w:numId w:val="1"/>
      </w:numPr>
    </w:pPr>
    <w:rPr>
      <w:rFonts w:asciiTheme="minorAscii" w:hAnsiTheme="minorAscii"/>
    </w:rPr>
  </w:style>
  <w:style w:type="character" w:customStyle="1" w:styleId="19">
    <w:name w:val="font21"/>
    <w:basedOn w:val="16"/>
    <w:qFormat/>
    <w:uiPriority w:val="0"/>
    <w:rPr>
      <w:rFonts w:hint="default" w:ascii="Times New Roman" w:hAnsi="Times New Roman" w:cs="Times New Roman"/>
      <w:color w:val="000000"/>
      <w:sz w:val="24"/>
      <w:szCs w:val="24"/>
      <w:u w:val="none"/>
    </w:rPr>
  </w:style>
  <w:style w:type="character" w:customStyle="1" w:styleId="20">
    <w:name w:val="font01"/>
    <w:basedOn w:val="16"/>
    <w:qFormat/>
    <w:uiPriority w:val="0"/>
    <w:rPr>
      <w:rFonts w:hint="eastAsia" w:ascii="宋体" w:hAnsi="宋体" w:eastAsia="宋体" w:cs="宋体"/>
      <w:color w:val="000000"/>
      <w:sz w:val="24"/>
      <w:szCs w:val="24"/>
      <w:u w:val="none"/>
    </w:rPr>
  </w:style>
  <w:style w:type="character" w:customStyle="1" w:styleId="21">
    <w:name w:val="font11"/>
    <w:basedOn w:val="16"/>
    <w:qFormat/>
    <w:uiPriority w:val="0"/>
    <w:rPr>
      <w:rFonts w:hint="default" w:ascii="Times New Roman" w:hAnsi="Times New Roman" w:cs="Times New Roman"/>
      <w:b/>
      <w:bCs/>
      <w:color w:val="000000"/>
      <w:sz w:val="28"/>
      <w:szCs w:val="28"/>
      <w:u w:val="none"/>
    </w:rPr>
  </w:style>
  <w:style w:type="character" w:customStyle="1" w:styleId="22">
    <w:name w:val="font41"/>
    <w:basedOn w:val="16"/>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2021-09-28T01:40:00Z</dcterms:created>
  <dc:creator>司空影月</dc:creator>
  <cp:lastModifiedBy>Administrator</cp:lastModifiedBy>
  <dcterms:modified xsi:type="dcterms:W3CDTF">2022-01-05T10:13:30Z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6B63A5B252B34B2EBC2565886248F068</vt:lpwstr>
  </property>
</Properties>
</file>