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90" w:rsidRPr="009D2D5E" w:rsidRDefault="00496790">
      <w:pPr>
        <w:jc w:val="center"/>
        <w:rPr>
          <w:rFonts w:ascii="宋体" w:cs="Times New Roman"/>
          <w:b/>
          <w:bCs/>
          <w:sz w:val="44"/>
          <w:szCs w:val="44"/>
        </w:rPr>
      </w:pPr>
      <w:r w:rsidRPr="009D2D5E">
        <w:rPr>
          <w:rFonts w:ascii="宋体" w:hAnsi="宋体" w:cs="宋体" w:hint="eastAsia"/>
          <w:b/>
          <w:bCs/>
          <w:sz w:val="44"/>
          <w:szCs w:val="44"/>
        </w:rPr>
        <w:t>岩寺镇村级电商网点管理制度</w:t>
      </w:r>
    </w:p>
    <w:p w:rsidR="00496790" w:rsidRDefault="00496790" w:rsidP="00C01CDE">
      <w:pPr>
        <w:spacing w:line="560" w:lineRule="exact"/>
        <w:rPr>
          <w:rFonts w:ascii="黑体" w:eastAsia="黑体" w:hAnsi="黑体" w:cs="Times New Roman"/>
          <w:sz w:val="32"/>
          <w:szCs w:val="32"/>
        </w:rPr>
      </w:pPr>
    </w:p>
    <w:p w:rsidR="00496790" w:rsidRDefault="00496790" w:rsidP="009D2D5E">
      <w:pPr>
        <w:spacing w:line="560" w:lineRule="exact"/>
        <w:jc w:val="center"/>
        <w:rPr>
          <w:rFonts w:ascii="黑体" w:eastAsia="黑体" w:hAnsi="黑体" w:cs="Times New Roman"/>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第一条</w:t>
      </w:r>
      <w:r w:rsidRPr="009D2D5E">
        <w:rPr>
          <w:rFonts w:ascii="仿宋_GB2312" w:eastAsia="仿宋_GB2312" w:hAnsi="仿宋" w:cs="仿宋_GB2312" w:hint="eastAsia"/>
          <w:sz w:val="32"/>
          <w:szCs w:val="32"/>
        </w:rPr>
        <w:t> </w:t>
      </w:r>
      <w:r w:rsidRPr="009D2D5E">
        <w:rPr>
          <w:rFonts w:ascii="仿宋_GB2312" w:eastAsia="仿宋_GB2312" w:hAnsi="仿宋" w:cs="仿宋_GB2312" w:hint="eastAsia"/>
          <w:sz w:val="32"/>
          <w:szCs w:val="32"/>
        </w:rPr>
        <w:t>村级电商网点以村民为主要服务对象，以公共服务、信息咨询和代理服务等为主要服务内容，借助电商平台拓展农民增收渠道为目标，为广大村民提供方便快捷代理服务，最终实现“网货下乡”和“农产品上行”的双向流通。为使电商网点工作顺利开展，特制定本制度。</w:t>
      </w:r>
    </w:p>
    <w:p w:rsidR="00496790" w:rsidRPr="009D2D5E" w:rsidRDefault="00496790" w:rsidP="00C01CDE">
      <w:pPr>
        <w:spacing w:line="560" w:lineRule="exact"/>
        <w:jc w:val="center"/>
        <w:rPr>
          <w:rFonts w:ascii="黑体" w:eastAsia="黑体" w:hAnsi="黑体" w:cs="Times New Roman"/>
          <w:sz w:val="32"/>
          <w:szCs w:val="32"/>
        </w:rPr>
      </w:pPr>
      <w:r w:rsidRPr="009D2D5E">
        <w:rPr>
          <w:rFonts w:ascii="黑体" w:eastAsia="黑体" w:hAnsi="黑体" w:cs="黑体" w:hint="eastAsia"/>
          <w:sz w:val="32"/>
          <w:szCs w:val="32"/>
        </w:rPr>
        <w:t>第二章</w:t>
      </w:r>
      <w:r w:rsidRPr="009D2D5E">
        <w:rPr>
          <w:rFonts w:ascii="黑体" w:eastAsia="黑体" w:hAnsi="黑体" w:cs="黑体"/>
          <w:sz w:val="32"/>
          <w:szCs w:val="32"/>
        </w:rPr>
        <w:t xml:space="preserve"> </w:t>
      </w:r>
      <w:r w:rsidRPr="009D2D5E">
        <w:rPr>
          <w:rFonts w:ascii="黑体" w:eastAsia="黑体" w:hAnsi="黑体" w:cs="黑体" w:hint="eastAsia"/>
          <w:sz w:val="32"/>
          <w:szCs w:val="32"/>
        </w:rPr>
        <w:t>工作内容</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第二条</w:t>
      </w:r>
      <w:r w:rsidRPr="009D2D5E">
        <w:rPr>
          <w:rFonts w:ascii="仿宋_GB2312" w:eastAsia="仿宋_GB2312" w:hAnsi="仿宋" w:cs="仿宋_GB2312"/>
          <w:sz w:val="32"/>
          <w:szCs w:val="32"/>
        </w:rPr>
        <w:t xml:space="preserve"> </w:t>
      </w:r>
      <w:r w:rsidRPr="009D2D5E">
        <w:rPr>
          <w:rFonts w:ascii="仿宋_GB2312" w:eastAsia="仿宋_GB2312" w:hAnsi="仿宋" w:cs="仿宋_GB2312" w:hint="eastAsia"/>
          <w:sz w:val="32"/>
          <w:szCs w:val="32"/>
        </w:rPr>
        <w:t>类型划分。徽州区村级电商网点按照职能划分，分为综合服务点和便民网点两类。</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第三条</w:t>
      </w:r>
      <w:r w:rsidRPr="009D2D5E">
        <w:rPr>
          <w:rFonts w:ascii="仿宋_GB2312" w:eastAsia="仿宋_GB2312" w:hAnsi="仿宋" w:cs="仿宋_GB2312"/>
          <w:sz w:val="32"/>
          <w:szCs w:val="32"/>
        </w:rPr>
        <w:t xml:space="preserve"> </w:t>
      </w:r>
      <w:r w:rsidRPr="009D2D5E">
        <w:rPr>
          <w:rFonts w:ascii="仿宋_GB2312" w:eastAsia="仿宋_GB2312" w:hAnsi="仿宋" w:cs="仿宋_GB2312" w:hint="eastAsia"/>
          <w:sz w:val="32"/>
          <w:szCs w:val="32"/>
        </w:rPr>
        <w:t>具备功能。便民网点应具备农产品信息收集、快递代收代发、生活缴费、信息查询、电商政策宣讲咨询、电商技能基础培训等便民服务功能。综合服务点除具备便民网点所有功能外，还需要有持续开展农产品上行服务的能力或能够有效带动贫困户、贫困村产业发展和就业的能力。</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第四条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台账登记。便民网点在开展工作的同时，要根据实际，填写《便民服务登记表》、《快递收发登记表》和《农产品收购登记表》；综合服务点除做好便民网点三套表的填写之外，还需做好《农产品销售登记表》的记录。</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第五条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利益联结机制。发挥“电商中心</w:t>
      </w:r>
      <w:r w:rsidRPr="009D2D5E">
        <w:rPr>
          <w:rFonts w:ascii="仿宋_GB2312" w:eastAsia="仿宋_GB2312" w:hAnsi="仿宋" w:cs="仿宋_GB2312"/>
          <w:sz w:val="32"/>
          <w:szCs w:val="32"/>
        </w:rPr>
        <w:t>+</w:t>
      </w:r>
      <w:r w:rsidRPr="009D2D5E">
        <w:rPr>
          <w:rFonts w:ascii="仿宋_GB2312" w:eastAsia="仿宋_GB2312" w:hAnsi="仿宋" w:cs="仿宋_GB2312" w:hint="eastAsia"/>
          <w:sz w:val="32"/>
          <w:szCs w:val="32"/>
        </w:rPr>
        <w:t>电商龙头企业</w:t>
      </w:r>
      <w:r w:rsidRPr="009D2D5E">
        <w:rPr>
          <w:rFonts w:ascii="仿宋_GB2312" w:eastAsia="仿宋_GB2312" w:hAnsi="仿宋" w:cs="仿宋_GB2312"/>
          <w:sz w:val="32"/>
          <w:szCs w:val="32"/>
        </w:rPr>
        <w:t>+</w:t>
      </w:r>
      <w:r w:rsidRPr="009D2D5E">
        <w:rPr>
          <w:rFonts w:ascii="仿宋_GB2312" w:eastAsia="仿宋_GB2312" w:hAnsi="仿宋" w:cs="仿宋_GB2312" w:hint="eastAsia"/>
          <w:sz w:val="32"/>
          <w:szCs w:val="32"/>
        </w:rPr>
        <w:t>村级电商站点</w:t>
      </w:r>
      <w:r w:rsidRPr="009D2D5E">
        <w:rPr>
          <w:rFonts w:ascii="仿宋_GB2312" w:eastAsia="仿宋_GB2312" w:hAnsi="仿宋" w:cs="仿宋_GB2312"/>
          <w:sz w:val="32"/>
          <w:szCs w:val="32"/>
        </w:rPr>
        <w:t>+</w:t>
      </w:r>
      <w:r w:rsidRPr="009D2D5E">
        <w:rPr>
          <w:rFonts w:ascii="仿宋_GB2312" w:eastAsia="仿宋_GB2312" w:hAnsi="仿宋" w:cs="仿宋_GB2312" w:hint="eastAsia"/>
          <w:sz w:val="32"/>
          <w:szCs w:val="32"/>
        </w:rPr>
        <w:t>农副产品基地（农户自产自销产品）”经营链条的带动作用。鼓励成立生产合作社；鼓励生产基地、合作社及电商企业聘用贫困户用工；鼓励收购贫困户农特产品；鼓励各贫困村站点做好电商带动村级产业增收，贫困户增收等工作。并对以上工作整理好佐证材料。</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第六条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设备管理。由区电子商务公共服务中心统一规范各网点台式电脑、液晶电视、桌椅、门头、制度标牌等设备。各电商网点负责人对运营设备有签收、审验、维护和保养的职责。</w:t>
      </w:r>
    </w:p>
    <w:p w:rsidR="00496790" w:rsidRPr="009D2D5E" w:rsidRDefault="00496790" w:rsidP="00C01CDE">
      <w:pPr>
        <w:spacing w:line="560" w:lineRule="exact"/>
        <w:jc w:val="center"/>
        <w:rPr>
          <w:rFonts w:ascii="黑体" w:eastAsia="黑体" w:hAnsi="黑体" w:cs="Times New Roman"/>
          <w:sz w:val="32"/>
          <w:szCs w:val="32"/>
        </w:rPr>
      </w:pPr>
      <w:r w:rsidRPr="009D2D5E">
        <w:rPr>
          <w:rFonts w:ascii="黑体" w:eastAsia="黑体" w:hAnsi="黑体" w:cs="黑体" w:hint="eastAsia"/>
          <w:sz w:val="32"/>
          <w:szCs w:val="32"/>
        </w:rPr>
        <w:t>第三章</w:t>
      </w:r>
      <w:r w:rsidRPr="009D2D5E">
        <w:rPr>
          <w:rFonts w:ascii="黑体" w:eastAsia="黑体" w:hAnsi="黑体" w:cs="黑体"/>
          <w:sz w:val="32"/>
          <w:szCs w:val="32"/>
        </w:rPr>
        <w:t xml:space="preserve"> </w:t>
      </w:r>
      <w:r w:rsidRPr="009D2D5E">
        <w:rPr>
          <w:rFonts w:ascii="黑体" w:eastAsia="黑体" w:hAnsi="黑体" w:cs="黑体" w:hint="eastAsia"/>
          <w:sz w:val="32"/>
          <w:szCs w:val="32"/>
        </w:rPr>
        <w:t>关联功能</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第七条</w:t>
      </w:r>
      <w:r w:rsidRPr="009D2D5E">
        <w:rPr>
          <w:rFonts w:ascii="仿宋_GB2312" w:eastAsia="仿宋_GB2312" w:hAnsi="仿宋" w:cs="仿宋_GB2312"/>
          <w:sz w:val="32"/>
          <w:szCs w:val="32"/>
        </w:rPr>
        <w:t xml:space="preserve"> </w:t>
      </w:r>
      <w:r w:rsidRPr="009D2D5E">
        <w:rPr>
          <w:rFonts w:ascii="仿宋_GB2312" w:eastAsia="仿宋_GB2312" w:hAnsi="仿宋" w:cs="仿宋_GB2312" w:hint="eastAsia"/>
          <w:sz w:val="32"/>
          <w:szCs w:val="32"/>
        </w:rPr>
        <w:t>全区电商网点与区电子商务公共服务中心具有关联功能，各站点负责人需通过“徽州区电子商务群”微信群保持日常联系，同时能通过使用“徽州区电子商务公共服务中心”官网上传农产品信息，通过“徽州优品”平台开展农产品上行业务。</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第八条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徽州区电子商务公共服务中心指导电商网点健康有序发展，规范电商网点经营行为，定期对电商网点进行检查与评估。建立日常网络安全管理、检查和维护制度，确保信息体系安全。</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第九条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各电商网点需按照区电商中心要求提供相关数据、台账表格、参加会议及培训。</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第十条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电商网点培训。由区电商中心组织免费培训和业务指导，电商网点负责人组织人员参加。</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第十一条</w:t>
      </w:r>
      <w:r w:rsidRPr="009D2D5E">
        <w:rPr>
          <w:rFonts w:ascii="仿宋_GB2312" w:eastAsia="仿宋_GB2312" w:hAnsi="仿宋" w:cs="仿宋_GB2312"/>
          <w:sz w:val="32"/>
          <w:szCs w:val="32"/>
        </w:rPr>
        <w:t xml:space="preserve"> </w:t>
      </w:r>
      <w:r w:rsidRPr="009D2D5E">
        <w:rPr>
          <w:rFonts w:ascii="仿宋_GB2312" w:eastAsia="仿宋_GB2312" w:hAnsi="仿宋" w:cs="仿宋_GB2312" w:hint="eastAsia"/>
          <w:sz w:val="32"/>
          <w:szCs w:val="32"/>
        </w:rPr>
        <w:t>代买代卖产品要及时交送，对农户提供的初级农产品，网点负责人要进行审核把关，保证产品质量。供应的产品要适销对路，对商品要妥善保管，防止残损变质。要严格遵循国家的各项政策，不准出售假冒、变质商品。若代购过程中产生消费纠纷可协商或提请主管部门按照相关法律法规解决。</w:t>
      </w:r>
    </w:p>
    <w:p w:rsidR="00496790" w:rsidRPr="009D2D5E" w:rsidRDefault="00496790" w:rsidP="00DF0228">
      <w:pPr>
        <w:spacing w:line="560" w:lineRule="exact"/>
        <w:ind w:firstLineChars="196" w:firstLine="31680"/>
        <w:rPr>
          <w:rFonts w:ascii="仿宋_GB2312" w:eastAsia="仿宋_GB2312" w:cs="Times New Roman"/>
          <w:sz w:val="32"/>
          <w:szCs w:val="32"/>
        </w:rPr>
      </w:pPr>
      <w:r w:rsidRPr="009D2D5E">
        <w:rPr>
          <w:rFonts w:ascii="仿宋_GB2312" w:eastAsia="仿宋_GB2312" w:hAnsi="仿宋" w:cs="仿宋_GB2312" w:hint="eastAsia"/>
          <w:b/>
          <w:bCs/>
          <w:sz w:val="32"/>
          <w:szCs w:val="32"/>
        </w:rPr>
        <w:t>第十二条</w:t>
      </w:r>
      <w:r w:rsidRPr="009D2D5E">
        <w:rPr>
          <w:rFonts w:ascii="仿宋_GB2312" w:eastAsia="仿宋_GB2312" w:hAnsi="仿宋" w:cs="仿宋_GB2312"/>
          <w:sz w:val="32"/>
          <w:szCs w:val="32"/>
        </w:rPr>
        <w:t xml:space="preserve"> </w:t>
      </w:r>
      <w:r w:rsidRPr="009D2D5E">
        <w:rPr>
          <w:rFonts w:ascii="仿宋_GB2312" w:eastAsia="仿宋_GB2312" w:hAnsi="仿宋" w:cs="仿宋_GB2312" w:hint="eastAsia"/>
          <w:sz w:val="32"/>
          <w:szCs w:val="32"/>
        </w:rPr>
        <w:t>电商网点负责人通过电商平台发布各类供求信息，电商网点发布的商品（服务）信息应合法、真实可靠，文字用词要规范。</w:t>
      </w:r>
    </w:p>
    <w:p w:rsidR="00496790" w:rsidRPr="009D2D5E" w:rsidRDefault="00496790" w:rsidP="00C01CDE">
      <w:pPr>
        <w:numPr>
          <w:ilvl w:val="0"/>
          <w:numId w:val="1"/>
        </w:numPr>
        <w:spacing w:line="560" w:lineRule="exact"/>
        <w:jc w:val="center"/>
        <w:rPr>
          <w:rFonts w:ascii="黑体" w:eastAsia="黑体" w:hAnsi="黑体" w:cs="Times New Roman"/>
          <w:sz w:val="32"/>
          <w:szCs w:val="32"/>
        </w:rPr>
      </w:pPr>
      <w:r w:rsidRPr="009D2D5E">
        <w:rPr>
          <w:rFonts w:ascii="黑体" w:eastAsia="黑体" w:hAnsi="黑体" w:cs="黑体" w:hint="eastAsia"/>
          <w:sz w:val="32"/>
          <w:szCs w:val="32"/>
        </w:rPr>
        <w:t>考评管理</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第十三条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每年由区商务局牵头，对全区电商网点开展考评工作。具体考评细则由区商务局根据当年实际情况下发。</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第十四条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考评分为综合服务点及便民网点两种不同类型考评指标。便民网点考核侧重农产品信息收集情况、快递代收代发情况、生活缴费情况、电商政策宣讲情况、参加会议及电商培训情况、与中心关联情况等方面。综合服务点考评侧重农产品上行、利益联结机制构建情况等方面。</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第十五条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对贫困村电商网点的考评需根据电商扶贫完成情况，进行加分倾斜。</w:t>
      </w:r>
    </w:p>
    <w:p w:rsidR="00496790" w:rsidRPr="009D2D5E" w:rsidRDefault="00496790" w:rsidP="00C01CDE">
      <w:pPr>
        <w:spacing w:line="560" w:lineRule="exact"/>
        <w:jc w:val="center"/>
        <w:rPr>
          <w:rFonts w:ascii="黑体" w:eastAsia="黑体" w:hAnsi="黑体" w:cs="Times New Roman"/>
          <w:sz w:val="32"/>
          <w:szCs w:val="32"/>
        </w:rPr>
      </w:pPr>
      <w:r w:rsidRPr="009D2D5E">
        <w:rPr>
          <w:rFonts w:ascii="黑体" w:eastAsia="黑体" w:hAnsi="黑体" w:cs="黑体" w:hint="eastAsia"/>
          <w:sz w:val="32"/>
          <w:szCs w:val="32"/>
        </w:rPr>
        <w:t>第五章</w:t>
      </w:r>
      <w:r w:rsidRPr="009D2D5E">
        <w:rPr>
          <w:rFonts w:ascii="黑体" w:eastAsia="黑体" w:hAnsi="黑体" w:cs="黑体"/>
          <w:sz w:val="32"/>
          <w:szCs w:val="32"/>
        </w:rPr>
        <w:t xml:space="preserve"> </w:t>
      </w:r>
      <w:r w:rsidRPr="009D2D5E">
        <w:rPr>
          <w:rFonts w:ascii="黑体" w:eastAsia="黑体" w:hAnsi="黑体" w:cs="黑体" w:hint="eastAsia"/>
          <w:sz w:val="32"/>
          <w:szCs w:val="32"/>
        </w:rPr>
        <w:t>附则</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r w:rsidRPr="009D2D5E">
        <w:rPr>
          <w:rFonts w:ascii="仿宋_GB2312" w:eastAsia="仿宋_GB2312" w:hAnsi="仿宋" w:cs="仿宋_GB2312" w:hint="eastAsia"/>
          <w:b/>
          <w:bCs/>
          <w:sz w:val="32"/>
          <w:szCs w:val="32"/>
        </w:rPr>
        <w:t>第十六条</w:t>
      </w:r>
      <w:r w:rsidRPr="009D2D5E">
        <w:rPr>
          <w:rFonts w:ascii="仿宋_GB2312" w:eastAsia="仿宋_GB2312" w:hAnsi="仿宋" w:cs="仿宋_GB2312"/>
          <w:b/>
          <w:bCs/>
          <w:sz w:val="32"/>
          <w:szCs w:val="32"/>
        </w:rPr>
        <w:t xml:space="preserve"> </w:t>
      </w:r>
      <w:r w:rsidRPr="009D2D5E">
        <w:rPr>
          <w:rFonts w:ascii="仿宋_GB2312" w:eastAsia="仿宋_GB2312" w:hAnsi="仿宋" w:cs="仿宋_GB2312" w:hint="eastAsia"/>
          <w:sz w:val="32"/>
          <w:szCs w:val="32"/>
        </w:rPr>
        <w:t>本办法自电商网点分类型挂牌之日起实施。</w:t>
      </w:r>
    </w:p>
    <w:p w:rsidR="00496790" w:rsidRPr="009D2D5E" w:rsidRDefault="00496790" w:rsidP="00DF0228">
      <w:pPr>
        <w:spacing w:line="560" w:lineRule="exact"/>
        <w:ind w:firstLineChars="196" w:firstLine="31680"/>
        <w:rPr>
          <w:rFonts w:ascii="仿宋_GB2312" w:eastAsia="仿宋_GB2312" w:hAnsi="仿宋" w:cs="Times New Roman"/>
          <w:sz w:val="32"/>
          <w:szCs w:val="32"/>
        </w:rPr>
      </w:pPr>
      <w:bookmarkStart w:id="0" w:name="_GoBack"/>
      <w:r w:rsidRPr="009D2D5E">
        <w:rPr>
          <w:rFonts w:ascii="仿宋_GB2312" w:eastAsia="仿宋_GB2312" w:hAnsi="仿宋" w:cs="仿宋_GB2312" w:hint="eastAsia"/>
          <w:b/>
          <w:bCs/>
          <w:sz w:val="32"/>
          <w:szCs w:val="32"/>
        </w:rPr>
        <w:t>第十七条</w:t>
      </w:r>
      <w:bookmarkEnd w:id="0"/>
      <w:r w:rsidRPr="009D2D5E">
        <w:rPr>
          <w:rFonts w:ascii="仿宋_GB2312" w:eastAsia="仿宋_GB2312" w:hAnsi="仿宋" w:cs="仿宋_GB2312"/>
          <w:sz w:val="32"/>
          <w:szCs w:val="32"/>
        </w:rPr>
        <w:t xml:space="preserve"> </w:t>
      </w:r>
      <w:r w:rsidRPr="009D2D5E">
        <w:rPr>
          <w:rFonts w:ascii="仿宋_GB2312" w:eastAsia="仿宋_GB2312" w:hAnsi="仿宋" w:cs="仿宋_GB2312" w:hint="eastAsia"/>
          <w:sz w:val="32"/>
          <w:szCs w:val="32"/>
        </w:rPr>
        <w:t>本办法由徽州区商务局监督、徽州区电子商务公共服务中心制定。</w:t>
      </w:r>
    </w:p>
    <w:sectPr w:rsidR="00496790" w:rsidRPr="009D2D5E" w:rsidSect="008A08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08CEAC"/>
    <w:multiLevelType w:val="singleLevel"/>
    <w:tmpl w:val="A308CEAC"/>
    <w:lvl w:ilvl="0">
      <w:start w:val="4"/>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7C53BEF"/>
    <w:rsid w:val="001402DF"/>
    <w:rsid w:val="001764CD"/>
    <w:rsid w:val="00496790"/>
    <w:rsid w:val="00722B66"/>
    <w:rsid w:val="00831BF7"/>
    <w:rsid w:val="008712EC"/>
    <w:rsid w:val="008A0879"/>
    <w:rsid w:val="009D2D5E"/>
    <w:rsid w:val="00A10FFB"/>
    <w:rsid w:val="00AE12EF"/>
    <w:rsid w:val="00B747FE"/>
    <w:rsid w:val="00C01CDE"/>
    <w:rsid w:val="00D07AFD"/>
    <w:rsid w:val="00DF0228"/>
    <w:rsid w:val="00FC1B92"/>
    <w:rsid w:val="00FD4DC1"/>
    <w:rsid w:val="0A901ABF"/>
    <w:rsid w:val="0FA67D3F"/>
    <w:rsid w:val="10C52736"/>
    <w:rsid w:val="16A66F7E"/>
    <w:rsid w:val="17C53BEF"/>
    <w:rsid w:val="193B6D36"/>
    <w:rsid w:val="22827E55"/>
    <w:rsid w:val="292B74F8"/>
    <w:rsid w:val="3127550A"/>
    <w:rsid w:val="6C9D168D"/>
    <w:rsid w:val="7B7C6B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87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103</TotalTime>
  <Pages>3</Pages>
  <Words>212</Words>
  <Characters>1215</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火言火又风86</dc:creator>
  <cp:keywords/>
  <dc:description/>
  <cp:lastModifiedBy>FtpDown</cp:lastModifiedBy>
  <cp:revision>6</cp:revision>
  <cp:lastPrinted>2020-03-24T09:31:00Z</cp:lastPrinted>
  <dcterms:created xsi:type="dcterms:W3CDTF">2019-11-07T00:59:00Z</dcterms:created>
  <dcterms:modified xsi:type="dcterms:W3CDTF">2020-03-25T00:53:00Z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