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bookmarkStart w:id="0" w:name="_GoBack"/>
      <w:bookmarkEnd w:id="0"/>
    </w:p>
    <w:p>
      <w:pPr>
        <w:jc w:val="lef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附件</w:t>
      </w:r>
      <w:r>
        <w:rPr>
          <w:rFonts w:hint="eastAsia" w:asciiTheme="majorEastAsia" w:hAnsiTheme="majorEastAsia" w:eastAsiaTheme="majorEastAsia" w:cstheme="majorEastAsia"/>
          <w:sz w:val="32"/>
          <w:szCs w:val="32"/>
          <w:lang w:val="en-US" w:eastAsia="zh-CN"/>
        </w:rPr>
        <w:t>3</w:t>
      </w:r>
      <w:r>
        <w:rPr>
          <w:rFonts w:hint="eastAsia" w:asciiTheme="majorEastAsia" w:hAnsiTheme="majorEastAsia" w:eastAsiaTheme="majorEastAsia" w:cstheme="majorEastAsia"/>
          <w:sz w:val="32"/>
          <w:szCs w:val="32"/>
        </w:rPr>
        <w:t>：</w:t>
      </w:r>
    </w:p>
    <w:p>
      <w:pPr>
        <w:jc w:val="center"/>
        <w:rPr>
          <w:rFonts w:hint="eastAsia" w:ascii="黑体" w:hAnsi="黑体" w:eastAsia="黑体" w:cs="黑体"/>
          <w:b w:val="0"/>
          <w:bCs/>
          <w:color w:val="000000"/>
          <w:sz w:val="44"/>
          <w:szCs w:val="44"/>
        </w:rPr>
      </w:pPr>
      <w:r>
        <w:rPr>
          <w:rFonts w:hint="eastAsia" w:ascii="黑体" w:hAnsi="黑体" w:eastAsia="黑体" w:cs="黑体"/>
          <w:b w:val="0"/>
          <w:bCs/>
          <w:color w:val="000000"/>
          <w:sz w:val="44"/>
          <w:szCs w:val="44"/>
          <w:lang w:eastAsia="zh-CN"/>
        </w:rPr>
        <w:t>徽州区</w:t>
      </w:r>
      <w:r>
        <w:rPr>
          <w:rFonts w:hint="eastAsia" w:ascii="黑体" w:hAnsi="黑体" w:eastAsia="黑体" w:cs="黑体"/>
          <w:b w:val="0"/>
          <w:bCs/>
          <w:color w:val="000000"/>
          <w:sz w:val="44"/>
          <w:szCs w:val="44"/>
        </w:rPr>
        <w:t>城乡医疗救助</w:t>
      </w:r>
      <w:r>
        <w:rPr>
          <w:rFonts w:hint="eastAsia" w:ascii="黑体" w:hAnsi="黑体" w:eastAsia="黑体" w:cs="黑体"/>
          <w:b w:val="0"/>
          <w:bCs/>
          <w:color w:val="000000"/>
          <w:sz w:val="44"/>
          <w:szCs w:val="44"/>
          <w:lang w:val="en-US" w:eastAsia="zh-CN"/>
        </w:rPr>
        <w:t>资金管理暂行</w:t>
      </w:r>
      <w:r>
        <w:rPr>
          <w:rFonts w:hint="eastAsia" w:ascii="黑体" w:hAnsi="黑体" w:eastAsia="黑体" w:cs="黑体"/>
          <w:b w:val="0"/>
          <w:bCs/>
          <w:color w:val="000000"/>
          <w:sz w:val="44"/>
          <w:szCs w:val="44"/>
        </w:rPr>
        <w:t>办法</w:t>
      </w:r>
    </w:p>
    <w:p>
      <w:pPr>
        <w:keepNext w:val="0"/>
        <w:keepLines w:val="0"/>
        <w:pageBreakBefore w:val="0"/>
        <w:kinsoku/>
        <w:overflowPunct/>
        <w:topLinePunct w:val="0"/>
        <w:autoSpaceDE/>
        <w:autoSpaceDN/>
        <w:bidi w:val="0"/>
        <w:adjustRightInd/>
        <w:snapToGrid/>
        <w:spacing w:line="520" w:lineRule="exact"/>
        <w:jc w:val="both"/>
        <w:textAlignment w:val="auto"/>
        <w:rPr>
          <w:rFonts w:hint="eastAsia" w:ascii="新宋体" w:hAnsi="新宋体" w:eastAsia="新宋体" w:cs="新宋体"/>
          <w:color w:val="000000"/>
          <w:sz w:val="30"/>
          <w:szCs w:val="30"/>
          <w:lang w:val="en-US" w:eastAsia="zh-CN"/>
        </w:rPr>
      </w:pPr>
      <w:r>
        <w:rPr>
          <w:rFonts w:hint="eastAsia"/>
          <w:color w:val="000000"/>
          <w:sz w:val="30"/>
          <w:szCs w:val="30"/>
          <w:lang w:val="en-US" w:eastAsia="zh-CN"/>
        </w:rPr>
        <w:t xml:space="preserve">           </w:t>
      </w:r>
      <w:r>
        <w:rPr>
          <w:rFonts w:hint="eastAsia" w:ascii="仿宋" w:hAnsi="仿宋" w:eastAsia="仿宋" w:cs="仿宋"/>
          <w:color w:val="000000"/>
          <w:sz w:val="30"/>
          <w:szCs w:val="30"/>
          <w:lang w:val="en-US" w:eastAsia="zh-CN"/>
        </w:rPr>
        <w:t xml:space="preserve"> </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第一章   总则</w:t>
      </w:r>
    </w:p>
    <w:p>
      <w:pPr>
        <w:keepNext w:val="0"/>
        <w:keepLines w:val="0"/>
        <w:pageBreakBefore w:val="0"/>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为进一步规范城乡医疗救助资金使用和管理，提高资金使用效益，切实减轻城乡困难家庭医疗费用负担，根据有关政策法规，制定本办法。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本办法所称城乡医疗救助资金，是指通过各级财政预算、彩票公益金和社会各界捐助等渠道筹集，按规定用于城乡贫困家庭医疗救助的专项资金。</w:t>
      </w:r>
    </w:p>
    <w:p>
      <w:pPr>
        <w:keepNext w:val="0"/>
        <w:keepLines w:val="0"/>
        <w:pageBreakBefore w:val="0"/>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第三条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城乡医疗救助资金按照公开、公平、公正、专款专用、收支平衡的原则进行管理和使用。</w:t>
      </w:r>
    </w:p>
    <w:p>
      <w:pPr>
        <w:keepNext w:val="0"/>
        <w:keepLines w:val="0"/>
        <w:pageBreakBefore w:val="0"/>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第二章  资金筹集、分配和补助范围</w:t>
      </w:r>
    </w:p>
    <w:p>
      <w:pPr>
        <w:keepNext w:val="0"/>
        <w:keepLines w:val="0"/>
        <w:pageBreakBefore w:val="0"/>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第四条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区财政部门建立城乡医疗救助资金，资金来源主要包括：</w:t>
      </w:r>
    </w:p>
    <w:p>
      <w:pPr>
        <w:keepNext w:val="0"/>
        <w:keepLines w:val="0"/>
        <w:pageBreakBefore w:val="0"/>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（一）各级财政预算安排的资金</w:t>
      </w:r>
    </w:p>
    <w:p>
      <w:pPr>
        <w:keepNext w:val="0"/>
        <w:keepLines w:val="0"/>
        <w:pageBreakBefore w:val="0"/>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（二）彩票公益金安排的资金</w:t>
      </w:r>
    </w:p>
    <w:p>
      <w:pPr>
        <w:keepNext w:val="0"/>
        <w:keepLines w:val="0"/>
        <w:pageBreakBefore w:val="0"/>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（三）社会各界捐赠收入</w:t>
      </w:r>
    </w:p>
    <w:p>
      <w:pPr>
        <w:keepNext w:val="0"/>
        <w:keepLines w:val="0"/>
        <w:pageBreakBefore w:val="0"/>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（四）按规定可用于城乡医疗救助的其他资金</w:t>
      </w:r>
    </w:p>
    <w:p>
      <w:pPr>
        <w:pStyle w:val="8"/>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第五条</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区财政部门根据本区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救助对象数量、救助标准、医药费用增长和上级财政补助资金情况科学测算资金需求</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，将城乡医疗救助资金纳入年初公共财政和彩票公益金预算，区级财政安排的城乡医疗救助资金不少上年度省以上财政补助资金总量的10%</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实施过程中产生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的缺口部分，由</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区级</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财政</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部门</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及时予以弥补。</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第六条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城乡医疗救助资金的使用范围</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根据当年度城乡医疗救助实施办法的规定，对</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符合救助条件的</w:t>
      </w:r>
      <w:r>
        <w:rPr>
          <w:rFonts w:hint="eastAsia" w:ascii="仿宋_GB2312" w:hAnsi="仿宋_GB2312" w:eastAsia="仿宋_GB2312" w:cs="仿宋_GB2312"/>
          <w:color w:val="000000" w:themeColor="text1"/>
          <w:kern w:val="0"/>
          <w:sz w:val="32"/>
          <w:szCs w:val="32"/>
          <w14:textFill>
            <w14:solidFill>
              <w14:schemeClr w14:val="tx1"/>
            </w14:solidFill>
          </w14:textFill>
        </w:rPr>
        <w:t>低保对象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特困供养人员</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贫困人口</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低收入医疗救助对象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kern w:val="0"/>
          <w:sz w:val="32"/>
          <w:szCs w:val="32"/>
          <w14:textFill>
            <w14:solidFill>
              <w14:schemeClr w14:val="tx1"/>
            </w14:solidFill>
          </w14:textFill>
        </w:rPr>
        <w:t>因病致贫家庭重病患者</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城乡困难居民，按政策实施资助参保和住院、门诊救助。</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第七条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区财政部门要将必要的工作经费纳入同级财政预算，确保城乡医疗救助工作顺利开展。</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第三章  资金拨付与管理</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城乡医疗救助资金实行专款专用，资金拨付按照国库集中支付制度有关规定执行。</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资助医疗救助对象参保的资金，由医保部门审核符合条件的医疗救助人数、资助参保标准，将所需资金按非税收入征缴程序缴入国库。</w:t>
      </w:r>
    </w:p>
    <w:p>
      <w:pPr>
        <w:keepNext w:val="0"/>
        <w:keepLines w:val="0"/>
        <w:pageBreakBefore w:val="0"/>
        <w:widowControl/>
        <w:kinsoku/>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到开展“一站式”即时结算的定点医疗机构就医的，所发生的医疗费用，应由医疗救助基金支付的，由定点医疗机构或保险经办机构按协议先行垫付，救助对象只需支付自付部分。定点医疗机构或保险经办机构垫付部分由医保部门据实定期结算。对不按规定用药、诊疗和提供医疗服务所发生的医疗费用，城乡医疗救助基金不予结算。</w:t>
      </w:r>
    </w:p>
    <w:p>
      <w:pPr>
        <w:keepNext w:val="0"/>
        <w:keepLines w:val="0"/>
        <w:pageBreakBefore w:val="0"/>
        <w:widowControl/>
        <w:kinsoku/>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救助对象在区外定点医疗机构住院就医的由患者或其家属向乡镇（社区办）申请医疗救助。乡镇（社区办）在接到申请后的5个工作日内，派人入户调查、审核；区医保部门接到齐全的申报材料后，在5个工作日内完成审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left"/>
        <w:textAlignment w:val="auto"/>
        <w:rPr>
          <w:rFonts w:hint="eastAsia" w:ascii="仿宋_GB2312" w:hAnsi="仿宋_GB2312" w:eastAsia="仿宋_GB2312" w:cs="仿宋_GB2312"/>
          <w:color w:val="000000" w:themeColor="text1"/>
          <w:w w:val="100"/>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w w:val="100"/>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b/>
          <w:bCs/>
          <w:color w:val="000000" w:themeColor="text1"/>
          <w:w w:val="100"/>
          <w:kern w:val="0"/>
          <w:sz w:val="32"/>
          <w:szCs w:val="32"/>
          <w:lang w:val="en-US" w:eastAsia="zh-CN" w:bidi="ar"/>
          <w14:textFill>
            <w14:solidFill>
              <w14:schemeClr w14:val="tx1"/>
            </w14:solidFill>
          </w14:textFill>
        </w:rPr>
        <w:t>第九条</w:t>
      </w:r>
      <w:r>
        <w:rPr>
          <w:rFonts w:hint="eastAsia" w:ascii="仿宋_GB2312" w:hAnsi="仿宋_GB2312" w:eastAsia="仿宋_GB2312" w:cs="仿宋_GB2312"/>
          <w:color w:val="000000" w:themeColor="text1"/>
          <w:w w:val="100"/>
          <w:kern w:val="0"/>
          <w:sz w:val="32"/>
          <w:szCs w:val="32"/>
          <w:lang w:val="en-US" w:eastAsia="zh-CN" w:bidi="ar"/>
          <w14:textFill>
            <w14:solidFill>
              <w14:schemeClr w14:val="tx1"/>
            </w14:solidFill>
          </w14:textFill>
        </w:rPr>
        <w:t xml:space="preserve">  城乡医疗救助资金应全部用于补助救助对象符合规定的参保及住院（门诊）医疗救助支出，不得从中提取管理费或列支其他任何费用。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left"/>
        <w:textAlignment w:val="auto"/>
        <w:rPr>
          <w:rFonts w:hint="eastAsia" w:ascii="仿宋_GB2312" w:hAnsi="仿宋_GB2312" w:eastAsia="仿宋_GB2312" w:cs="仿宋_GB2312"/>
          <w:color w:val="000000" w:themeColor="text1"/>
          <w:w w:val="100"/>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w w:val="100"/>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b/>
          <w:bCs/>
          <w:color w:val="000000" w:themeColor="text1"/>
          <w:w w:val="100"/>
          <w:kern w:val="0"/>
          <w:sz w:val="32"/>
          <w:szCs w:val="32"/>
          <w:highlight w:val="none"/>
          <w:lang w:val="en-US" w:eastAsia="zh-CN" w:bidi="ar"/>
          <w14:textFill>
            <w14:solidFill>
              <w14:schemeClr w14:val="tx1"/>
            </w14:solidFill>
          </w14:textFill>
        </w:rPr>
        <w:t>第十条</w:t>
      </w:r>
      <w:r>
        <w:rPr>
          <w:rFonts w:hint="eastAsia" w:ascii="仿宋_GB2312" w:hAnsi="仿宋_GB2312" w:eastAsia="仿宋_GB2312" w:cs="仿宋_GB2312"/>
          <w:color w:val="000000" w:themeColor="text1"/>
          <w:w w:val="100"/>
          <w:kern w:val="0"/>
          <w:sz w:val="32"/>
          <w:szCs w:val="32"/>
          <w:highlight w:val="none"/>
          <w:lang w:val="en-US" w:eastAsia="zh-CN" w:bidi="ar"/>
          <w14:textFill>
            <w14:solidFill>
              <w14:schemeClr w14:val="tx1"/>
            </w14:solidFill>
          </w14:textFill>
        </w:rPr>
        <w:t xml:space="preserve">  建立定期对帐制度，区财政、医保部门应按照省财政部门、医保部门统一要求，认真做好城乡医疗救助资金的清理和对帐工作， 逐级报送城乡医疗救助资金执行情况和相关说明。</w:t>
      </w:r>
    </w:p>
    <w:p>
      <w:pPr>
        <w:keepNext w:val="0"/>
        <w:keepLines w:val="0"/>
        <w:pageBreakBefore w:val="0"/>
        <w:widowControl/>
        <w:numPr>
          <w:ilvl w:val="0"/>
          <w:numId w:val="0"/>
        </w:numPr>
        <w:kinsoku/>
        <w:overflowPunct/>
        <w:topLinePunct w:val="0"/>
        <w:autoSpaceDE/>
        <w:autoSpaceDN/>
        <w:bidi w:val="0"/>
        <w:adjustRightInd/>
        <w:snapToGrid/>
        <w:spacing w:line="600" w:lineRule="exact"/>
        <w:ind w:leftChars="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w w:val="100"/>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b/>
          <w:bCs/>
          <w:color w:val="000000" w:themeColor="text1"/>
          <w:w w:val="100"/>
          <w:kern w:val="0"/>
          <w:sz w:val="32"/>
          <w:szCs w:val="32"/>
          <w:lang w:val="en-US" w:eastAsia="zh-CN" w:bidi="ar"/>
          <w14:textFill>
            <w14:solidFill>
              <w14:schemeClr w14:val="tx1"/>
            </w14:solidFill>
          </w14:textFill>
        </w:rPr>
        <w:t xml:space="preserve">第十一条 </w:t>
      </w:r>
      <w:r>
        <w:rPr>
          <w:rFonts w:hint="eastAsia" w:ascii="仿宋_GB2312" w:hAnsi="仿宋_GB2312" w:eastAsia="仿宋_GB2312" w:cs="仿宋_GB2312"/>
          <w:color w:val="000000" w:themeColor="text1"/>
          <w:w w:val="100"/>
          <w:kern w:val="0"/>
          <w:sz w:val="32"/>
          <w:szCs w:val="32"/>
          <w:lang w:val="en-US" w:eastAsia="zh-CN" w:bidi="ar"/>
          <w14:textFill>
            <w14:solidFill>
              <w14:schemeClr w14:val="tx1"/>
            </w14:solidFill>
          </w14:textFill>
        </w:rPr>
        <w:t xml:space="preserve"> 城乡医疗救助资金年终结余资金可以结转下年度继续使用。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确保资金均衡合理使用，确保救助对象最大程度受益。</w:t>
      </w:r>
    </w:p>
    <w:p>
      <w:pPr>
        <w:keepNext w:val="0"/>
        <w:keepLines w:val="0"/>
        <w:pageBreakBefore w:val="0"/>
        <w:widowControl/>
        <w:numPr>
          <w:ilvl w:val="0"/>
          <w:numId w:val="0"/>
        </w:numPr>
        <w:kinsoku/>
        <w:overflowPunct/>
        <w:topLinePunct w:val="0"/>
        <w:autoSpaceDE/>
        <w:autoSpaceDN/>
        <w:bidi w:val="0"/>
        <w:adjustRightInd/>
        <w:snapToGrid/>
        <w:spacing w:line="600" w:lineRule="exact"/>
        <w:ind w:leftChars="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城乡医疗救助资金必须全部用于救助对象的医疗救助，任何单位和个人不得截留、挤占、挪用，不得向救助对象收取任何管理费用。</w:t>
      </w:r>
    </w:p>
    <w:p>
      <w:pPr>
        <w:keepNext w:val="0"/>
        <w:keepLines w:val="0"/>
        <w:pageBreakBefore w:val="0"/>
        <w:widowControl/>
        <w:numPr>
          <w:ilvl w:val="0"/>
          <w:numId w:val="0"/>
        </w:numPr>
        <w:kinsoku/>
        <w:overflowPunct/>
        <w:topLinePunct w:val="0"/>
        <w:autoSpaceDE/>
        <w:autoSpaceDN/>
        <w:bidi w:val="0"/>
        <w:adjustRightInd/>
        <w:snapToGrid/>
        <w:spacing w:line="600" w:lineRule="exact"/>
        <w:ind w:leftChars="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城乡医疗救助资金的筹集和使用情况，应通过网站、公告等形式按季度向社会公布，城乡医疗救助对象和救助金额等情况应每月在定点医疗机构或村（居）委会张榜公示7天，接受社会监督。</w:t>
      </w:r>
    </w:p>
    <w:p>
      <w:pPr>
        <w:keepNext w:val="0"/>
        <w:keepLines w:val="0"/>
        <w:pageBreakBefore w:val="0"/>
        <w:widowControl/>
        <w:numPr>
          <w:ilvl w:val="0"/>
          <w:numId w:val="0"/>
        </w:numPr>
        <w:kinsoku/>
        <w:overflowPunct/>
        <w:topLinePunct w:val="0"/>
        <w:autoSpaceDE/>
        <w:autoSpaceDN/>
        <w:bidi w:val="0"/>
        <w:adjustRightInd/>
        <w:snapToGrid/>
        <w:spacing w:line="600" w:lineRule="exact"/>
        <w:ind w:leftChars="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医保部门应对定点医疗机构提供的医疗服务和收费情况开展监督检查工作，发现问题要责令其限期整改。</w:t>
      </w:r>
    </w:p>
    <w:p>
      <w:pPr>
        <w:keepNext w:val="0"/>
        <w:keepLines w:val="0"/>
        <w:pageBreakBefore w:val="0"/>
        <w:widowControl/>
        <w:numPr>
          <w:ilvl w:val="0"/>
          <w:numId w:val="0"/>
        </w:numPr>
        <w:kinsoku/>
        <w:overflowPunct/>
        <w:topLinePunct w:val="0"/>
        <w:autoSpaceDE/>
        <w:autoSpaceDN/>
        <w:bidi w:val="0"/>
        <w:adjustRightInd/>
        <w:snapToGrid/>
        <w:spacing w:line="600" w:lineRule="exact"/>
        <w:ind w:leftChars="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区医保和财政等部门要定期对城乡医疗救助资金使用情况进行监督检查，并自觉接受审计、监察等部门的监督，接受上级医保部门、上级财政部门对本区医疗救助工作开展情况和基金使用情况进行抽查。</w:t>
      </w:r>
    </w:p>
    <w:p>
      <w:pPr>
        <w:keepNext w:val="0"/>
        <w:keepLines w:val="0"/>
        <w:pageBreakBefore w:val="0"/>
        <w:widowControl/>
        <w:numPr>
          <w:ilvl w:val="0"/>
          <w:numId w:val="0"/>
        </w:numPr>
        <w:kinsoku/>
        <w:overflowPunct/>
        <w:topLinePunct w:val="0"/>
        <w:autoSpaceDE/>
        <w:autoSpaceDN/>
        <w:bidi w:val="0"/>
        <w:adjustRightInd/>
        <w:snapToGrid/>
        <w:spacing w:line="600" w:lineRule="exact"/>
        <w:ind w:leftChars="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发现虚报冒领、挤占挪用、贪污浪费等违纪违法行为的单位和个人，按照有关法律法规严肃处理。对故意编造虚假信息，骗取上级补助资金的，除责令立即纠正、扣回、停止上级补助资金外，还应按规定追究有关单位和人员的责任。</w:t>
      </w:r>
    </w:p>
    <w:p>
      <w:pPr>
        <w:keepNext w:val="0"/>
        <w:keepLines w:val="0"/>
        <w:pageBreakBefore w:val="0"/>
        <w:widowControl/>
        <w:numPr>
          <w:ilvl w:val="0"/>
          <w:numId w:val="0"/>
        </w:numPr>
        <w:kinsoku/>
        <w:overflowPunct/>
        <w:topLinePunct w:val="0"/>
        <w:autoSpaceDE/>
        <w:autoSpaceDN/>
        <w:bidi w:val="0"/>
        <w:adjustRightInd/>
        <w:snapToGrid/>
        <w:spacing w:line="600" w:lineRule="exact"/>
        <w:ind w:leftChars="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overflowPunct/>
        <w:topLinePunct w:val="0"/>
        <w:autoSpaceDE/>
        <w:autoSpaceDN/>
        <w:bidi w:val="0"/>
        <w:adjustRightInd/>
        <w:snapToGrid/>
        <w:spacing w:line="600" w:lineRule="exact"/>
        <w:ind w:leftChars="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第四章  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本办法由区医保局和区财政局负责解释和修订，自印发之日起实施。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left"/>
        <w:textAlignment w:val="auto"/>
        <w:rPr>
          <w:rFonts w:hint="eastAsia" w:ascii="仿宋_GB2312" w:hAnsi="仿宋_GB2312" w:eastAsia="仿宋_GB2312" w:cs="仿宋_GB2312"/>
          <w:color w:val="000000" w:themeColor="text1"/>
          <w:w w:val="100"/>
          <w:kern w:val="0"/>
          <w:sz w:val="32"/>
          <w:szCs w:val="32"/>
          <w:lang w:val="en-US" w:eastAsia="zh-CN" w:bidi="ar"/>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w w:val="100"/>
          <w:kern w:val="0"/>
          <w:sz w:val="32"/>
          <w:szCs w:val="32"/>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60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sectPr>
      <w:headerReference r:id="rId3" w:type="default"/>
      <w:footerReference r:id="rId4" w:type="default"/>
      <w:pgSz w:w="11907" w:h="16840"/>
      <w:pgMar w:top="1134" w:right="1389" w:bottom="907" w:left="1446" w:header="851" w:footer="147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left" w:pos="4830"/>
                            </w:tabs>
                            <w:rPr>
                              <w:rStyle w:val="7"/>
                              <w:rFonts w:ascii="Times New Roman" w:hAnsi="Times New Roman"/>
                              <w:sz w:val="24"/>
                              <w:szCs w:val="24"/>
                            </w:rPr>
                          </w:pPr>
                          <w:r>
                            <w:rPr>
                              <w:rStyle w:val="7"/>
                              <w:rFonts w:ascii="Times New Roman" w:hAnsi="Times New Roman"/>
                              <w:sz w:val="24"/>
                              <w:szCs w:val="24"/>
                            </w:rPr>
                            <w:t xml:space="preserve">— </w:t>
                          </w:r>
                          <w:r>
                            <w:rPr>
                              <w:rFonts w:ascii="Times New Roman" w:hAnsi="Times New Roman"/>
                              <w:sz w:val="24"/>
                              <w:szCs w:val="24"/>
                            </w:rPr>
                            <w:fldChar w:fldCharType="begin"/>
                          </w:r>
                          <w:r>
                            <w:rPr>
                              <w:rStyle w:val="7"/>
                              <w:rFonts w:ascii="Times New Roman" w:hAnsi="Times New Roman"/>
                              <w:sz w:val="24"/>
                              <w:szCs w:val="24"/>
                            </w:rPr>
                            <w:instrText xml:space="preserve">PAGE  </w:instrText>
                          </w:r>
                          <w:r>
                            <w:rPr>
                              <w:rFonts w:ascii="Times New Roman" w:hAnsi="Times New Roman"/>
                              <w:sz w:val="24"/>
                              <w:szCs w:val="24"/>
                            </w:rPr>
                            <w:fldChar w:fldCharType="separate"/>
                          </w:r>
                          <w:r>
                            <w:rPr>
                              <w:rStyle w:val="7"/>
                              <w:rFonts w:ascii="Times New Roman" w:hAnsi="Times New Roman"/>
                              <w:sz w:val="24"/>
                              <w:szCs w:val="24"/>
                            </w:rPr>
                            <w:t>13</w:t>
                          </w:r>
                          <w:r>
                            <w:rPr>
                              <w:rFonts w:ascii="Times New Roman" w:hAnsi="Times New Roman"/>
                              <w:sz w:val="24"/>
                              <w:szCs w:val="24"/>
                            </w:rPr>
                            <w:fldChar w:fldCharType="end"/>
                          </w:r>
                          <w:r>
                            <w:rPr>
                              <w:rStyle w:val="7"/>
                              <w:rFonts w:ascii="Times New Roman" w:hAnsi="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tabs>
                        <w:tab w:val="left" w:pos="4830"/>
                      </w:tabs>
                      <w:rPr>
                        <w:rStyle w:val="7"/>
                        <w:rFonts w:ascii="Times New Roman" w:hAnsi="Times New Roman"/>
                        <w:sz w:val="24"/>
                        <w:szCs w:val="24"/>
                      </w:rPr>
                    </w:pPr>
                    <w:r>
                      <w:rPr>
                        <w:rStyle w:val="7"/>
                        <w:rFonts w:ascii="Times New Roman" w:hAnsi="Times New Roman"/>
                        <w:sz w:val="24"/>
                        <w:szCs w:val="24"/>
                      </w:rPr>
                      <w:t xml:space="preserve">— </w:t>
                    </w:r>
                    <w:r>
                      <w:rPr>
                        <w:rFonts w:ascii="Times New Roman" w:hAnsi="Times New Roman"/>
                        <w:sz w:val="24"/>
                        <w:szCs w:val="24"/>
                      </w:rPr>
                      <w:fldChar w:fldCharType="begin"/>
                    </w:r>
                    <w:r>
                      <w:rPr>
                        <w:rStyle w:val="7"/>
                        <w:rFonts w:ascii="Times New Roman" w:hAnsi="Times New Roman"/>
                        <w:sz w:val="24"/>
                        <w:szCs w:val="24"/>
                      </w:rPr>
                      <w:instrText xml:space="preserve">PAGE  </w:instrText>
                    </w:r>
                    <w:r>
                      <w:rPr>
                        <w:rFonts w:ascii="Times New Roman" w:hAnsi="Times New Roman"/>
                        <w:sz w:val="24"/>
                        <w:szCs w:val="24"/>
                      </w:rPr>
                      <w:fldChar w:fldCharType="separate"/>
                    </w:r>
                    <w:r>
                      <w:rPr>
                        <w:rStyle w:val="7"/>
                        <w:rFonts w:ascii="Times New Roman" w:hAnsi="Times New Roman"/>
                        <w:sz w:val="24"/>
                        <w:szCs w:val="24"/>
                      </w:rPr>
                      <w:t>13</w:t>
                    </w:r>
                    <w:r>
                      <w:rPr>
                        <w:rFonts w:ascii="Times New Roman" w:hAnsi="Times New Roman"/>
                        <w:sz w:val="24"/>
                        <w:szCs w:val="24"/>
                      </w:rPr>
                      <w:fldChar w:fldCharType="end"/>
                    </w:r>
                    <w:r>
                      <w:rPr>
                        <w:rStyle w:val="7"/>
                        <w:rFonts w:ascii="Times New Roman" w:hAnsi="Times New Roman"/>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ODU4ZmY0MGJlNjRmOTdkZTA0YjhlOTgzZWFkODQifQ=="/>
  </w:docVars>
  <w:rsids>
    <w:rsidRoot w:val="5D61762A"/>
    <w:rsid w:val="030F037C"/>
    <w:rsid w:val="05C71557"/>
    <w:rsid w:val="0B444349"/>
    <w:rsid w:val="0D5810E9"/>
    <w:rsid w:val="0DF578F3"/>
    <w:rsid w:val="0E012CC7"/>
    <w:rsid w:val="0E3A77E6"/>
    <w:rsid w:val="1172424E"/>
    <w:rsid w:val="13CF6ED8"/>
    <w:rsid w:val="142609B8"/>
    <w:rsid w:val="1EC40089"/>
    <w:rsid w:val="21EF4F71"/>
    <w:rsid w:val="284E3273"/>
    <w:rsid w:val="289A501A"/>
    <w:rsid w:val="29915EB2"/>
    <w:rsid w:val="2E512CEC"/>
    <w:rsid w:val="2F8853F2"/>
    <w:rsid w:val="313E3E4D"/>
    <w:rsid w:val="34EF5095"/>
    <w:rsid w:val="3A2F34FF"/>
    <w:rsid w:val="3AA2513F"/>
    <w:rsid w:val="3C804781"/>
    <w:rsid w:val="433B49C9"/>
    <w:rsid w:val="47646300"/>
    <w:rsid w:val="4D954E90"/>
    <w:rsid w:val="50484216"/>
    <w:rsid w:val="519C1992"/>
    <w:rsid w:val="523818E4"/>
    <w:rsid w:val="52724D68"/>
    <w:rsid w:val="539B5C6A"/>
    <w:rsid w:val="5479359F"/>
    <w:rsid w:val="55F604C8"/>
    <w:rsid w:val="579E7D89"/>
    <w:rsid w:val="5AC11DC8"/>
    <w:rsid w:val="5D61762A"/>
    <w:rsid w:val="5F9770EA"/>
    <w:rsid w:val="62D443FB"/>
    <w:rsid w:val="66F4546E"/>
    <w:rsid w:val="6D07363F"/>
    <w:rsid w:val="6E081BD5"/>
    <w:rsid w:val="78E11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rPr>
      <w:rFonts w:ascii="Times New Roman" w:hAnsi="Times New Roman"/>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w:basedOn w:val="1"/>
    <w:next w:val="1"/>
    <w:link w:val="5"/>
    <w:qFormat/>
    <w:uiPriority w:val="0"/>
    <w:pPr>
      <w:widowControl/>
      <w:spacing w:line="360" w:lineRule="auto"/>
      <w:jc w:val="left"/>
    </w:pPr>
    <w:rPr>
      <w:rFonts w:ascii="Times New Roman" w:hAnsi="Times New Roman"/>
    </w:rPr>
  </w:style>
  <w:style w:type="character" w:styleId="7">
    <w:name w:val="page number"/>
    <w:basedOn w:val="5"/>
    <w:qFormat/>
    <w:uiPriority w:val="0"/>
  </w:style>
  <w:style w:type="paragraph" w:customStyle="1" w:styleId="8">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9">
    <w:name w:val="t1"/>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2019-12-17T04:35:00Z</dcterms:created>
  <dc:creator>Administrator</dc:creator>
  <cp:lastModifiedBy>有心人</cp:lastModifiedBy>
  <cp:lastPrinted>2020-12-22T03:05:00Z</cp:lastPrinted>
  <dcterms:modified xsi:type="dcterms:W3CDTF">2025-04-01T00:54:03Z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B46D5BE701E047C9B8470340A98ABD55_12</vt:lpwstr>
  </property>
</Properties>
</file>