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DA" w:rsidRDefault="00B23054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t>徽州区</w:t>
      </w:r>
      <w:r w:rsidR="00C963B5">
        <w:rPr>
          <w:rFonts w:ascii="方正小标宋简体" w:eastAsia="方正小标宋简体" w:hint="eastAsia"/>
          <w:sz w:val="36"/>
          <w:szCs w:val="36"/>
        </w:rPr>
        <w:t>交通运输“双随机、一公开”抽查事项清单</w:t>
      </w:r>
      <w:r w:rsidR="00C963B5">
        <w:rPr>
          <w:rFonts w:ascii="楷体_GB2312" w:eastAsia="楷体_GB2312" w:hint="eastAsia"/>
          <w:sz w:val="32"/>
          <w:szCs w:val="32"/>
        </w:rPr>
        <w:t>（2022年版）</w:t>
      </w:r>
    </w:p>
    <w:tbl>
      <w:tblPr>
        <w:tblStyle w:val="a6"/>
        <w:tblW w:w="15309" w:type="dxa"/>
        <w:tblInd w:w="108" w:type="dxa"/>
        <w:tblLayout w:type="fixed"/>
        <w:tblLook w:val="04A0"/>
      </w:tblPr>
      <w:tblGrid>
        <w:gridCol w:w="426"/>
        <w:gridCol w:w="1992"/>
        <w:gridCol w:w="1693"/>
        <w:gridCol w:w="1985"/>
        <w:gridCol w:w="1485"/>
        <w:gridCol w:w="1237"/>
        <w:gridCol w:w="2150"/>
        <w:gridCol w:w="4341"/>
      </w:tblGrid>
      <w:tr w:rsidR="00600EDA">
        <w:tc>
          <w:tcPr>
            <w:tcW w:w="426" w:type="dxa"/>
            <w:vMerge w:val="restart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Cs w:val="21"/>
              </w:rPr>
              <w:t>序号</w:t>
            </w:r>
          </w:p>
        </w:tc>
        <w:tc>
          <w:tcPr>
            <w:tcW w:w="3685" w:type="dxa"/>
            <w:gridSpan w:val="2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检查项目</w:t>
            </w:r>
          </w:p>
        </w:tc>
        <w:tc>
          <w:tcPr>
            <w:tcW w:w="1985" w:type="dxa"/>
            <w:vMerge w:val="restart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检查</w:t>
            </w:r>
          </w:p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对象</w:t>
            </w:r>
          </w:p>
        </w:tc>
        <w:tc>
          <w:tcPr>
            <w:tcW w:w="1485" w:type="dxa"/>
            <w:vMerge w:val="restart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事项</w:t>
            </w:r>
          </w:p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类别</w:t>
            </w:r>
          </w:p>
        </w:tc>
        <w:tc>
          <w:tcPr>
            <w:tcW w:w="1237" w:type="dxa"/>
            <w:vMerge w:val="restart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检查</w:t>
            </w:r>
          </w:p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方式</w:t>
            </w:r>
          </w:p>
        </w:tc>
        <w:tc>
          <w:tcPr>
            <w:tcW w:w="2150" w:type="dxa"/>
            <w:vMerge w:val="restart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检查主体</w:t>
            </w:r>
          </w:p>
        </w:tc>
        <w:tc>
          <w:tcPr>
            <w:tcW w:w="4341" w:type="dxa"/>
            <w:vMerge w:val="restart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检查依据</w:t>
            </w:r>
          </w:p>
        </w:tc>
      </w:tr>
      <w:tr w:rsidR="00600EDA">
        <w:tc>
          <w:tcPr>
            <w:tcW w:w="426" w:type="dxa"/>
            <w:vMerge/>
          </w:tcPr>
          <w:p w:rsidR="00600EDA" w:rsidRDefault="00600EDA">
            <w:pPr>
              <w:rPr>
                <w:color w:val="000000" w:themeColor="text1"/>
              </w:rPr>
            </w:pPr>
          </w:p>
        </w:tc>
        <w:tc>
          <w:tcPr>
            <w:tcW w:w="1992" w:type="dxa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抽查类别</w:t>
            </w:r>
          </w:p>
        </w:tc>
        <w:tc>
          <w:tcPr>
            <w:tcW w:w="1693" w:type="dxa"/>
            <w:vAlign w:val="center"/>
          </w:tcPr>
          <w:p w:rsidR="00600EDA" w:rsidRDefault="00C963B5">
            <w:pPr>
              <w:jc w:val="center"/>
              <w:rPr>
                <w:rFonts w:ascii="黑体" w:eastAsia="黑体" w:hAnsi="黑体" w:cs="仿宋_GB2312"/>
                <w:bCs/>
                <w:color w:val="000000" w:themeColor="text1"/>
                <w:szCs w:val="21"/>
              </w:rPr>
            </w:pPr>
            <w:r>
              <w:rPr>
                <w:rFonts w:ascii="黑体" w:eastAsia="黑体" w:hAnsi="黑体" w:cs="仿宋_GB2312" w:hint="eastAsia"/>
                <w:bCs/>
                <w:color w:val="000000" w:themeColor="text1"/>
                <w:szCs w:val="21"/>
              </w:rPr>
              <w:t>抽查事项</w:t>
            </w:r>
          </w:p>
        </w:tc>
        <w:tc>
          <w:tcPr>
            <w:tcW w:w="1985" w:type="dxa"/>
            <w:vMerge/>
          </w:tcPr>
          <w:p w:rsidR="00600EDA" w:rsidRDefault="00600EDA">
            <w:pPr>
              <w:rPr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:rsidR="00600EDA" w:rsidRDefault="00600EDA">
            <w:pPr>
              <w:rPr>
                <w:color w:val="000000" w:themeColor="text1"/>
              </w:rPr>
            </w:pPr>
          </w:p>
        </w:tc>
        <w:tc>
          <w:tcPr>
            <w:tcW w:w="1237" w:type="dxa"/>
            <w:vMerge/>
          </w:tcPr>
          <w:p w:rsidR="00600EDA" w:rsidRDefault="00600EDA">
            <w:pPr>
              <w:rPr>
                <w:color w:val="000000" w:themeColor="text1"/>
              </w:rPr>
            </w:pPr>
          </w:p>
        </w:tc>
        <w:tc>
          <w:tcPr>
            <w:tcW w:w="2150" w:type="dxa"/>
            <w:vMerge/>
          </w:tcPr>
          <w:p w:rsidR="00600EDA" w:rsidRDefault="00600EDA">
            <w:pPr>
              <w:rPr>
                <w:color w:val="000000" w:themeColor="text1"/>
              </w:rPr>
            </w:pPr>
          </w:p>
        </w:tc>
        <w:tc>
          <w:tcPr>
            <w:tcW w:w="4341" w:type="dxa"/>
            <w:vMerge/>
          </w:tcPr>
          <w:p w:rsidR="00600EDA" w:rsidRDefault="00600EDA">
            <w:pPr>
              <w:rPr>
                <w:color w:val="000000" w:themeColor="text1"/>
              </w:rPr>
            </w:pPr>
          </w:p>
        </w:tc>
      </w:tr>
      <w:tr w:rsidR="00600EDA" w:rsidTr="00A47412">
        <w:tc>
          <w:tcPr>
            <w:tcW w:w="426" w:type="dxa"/>
            <w:vMerge w:val="restart"/>
            <w:vAlign w:val="center"/>
          </w:tcPr>
          <w:p w:rsidR="00600EDA" w:rsidRDefault="00B23054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992" w:type="dxa"/>
            <w:vMerge w:val="restart"/>
            <w:vAlign w:val="center"/>
          </w:tcPr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道路货物运输经营的检查</w:t>
            </w:r>
          </w:p>
        </w:tc>
        <w:tc>
          <w:tcPr>
            <w:tcW w:w="1693" w:type="dxa"/>
            <w:vAlign w:val="center"/>
          </w:tcPr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道路普通货物运输经营许可的检查</w:t>
            </w:r>
          </w:p>
        </w:tc>
        <w:tc>
          <w:tcPr>
            <w:tcW w:w="1985" w:type="dxa"/>
            <w:vAlign w:val="center"/>
          </w:tcPr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道路普通货物运输经营企业、货运车辆</w:t>
            </w:r>
          </w:p>
        </w:tc>
        <w:tc>
          <w:tcPr>
            <w:tcW w:w="1485" w:type="dxa"/>
            <w:vAlign w:val="center"/>
          </w:tcPr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vAlign w:val="center"/>
          </w:tcPr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网络系统监管</w:t>
            </w:r>
          </w:p>
        </w:tc>
        <w:tc>
          <w:tcPr>
            <w:tcW w:w="2150" w:type="dxa"/>
            <w:vAlign w:val="center"/>
          </w:tcPr>
          <w:p w:rsidR="00600EDA" w:rsidRDefault="00A47412" w:rsidP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徽州区</w:t>
            </w:r>
            <w:r w:rsidR="00C963B5">
              <w:rPr>
                <w:rFonts w:ascii="宋体" w:hAnsi="宋体" w:cs="仿宋_GB2312" w:hint="eastAsia"/>
                <w:color w:val="000000" w:themeColor="text1"/>
                <w:szCs w:val="21"/>
              </w:rPr>
              <w:t>交通运输</w:t>
            </w: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局</w:t>
            </w:r>
          </w:p>
        </w:tc>
        <w:tc>
          <w:tcPr>
            <w:tcW w:w="4341" w:type="dxa"/>
            <w:vMerge w:val="restart"/>
            <w:vAlign w:val="center"/>
          </w:tcPr>
          <w:p w:rsidR="00600EDA" w:rsidRDefault="00C963B5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《中华人民共和国安全生产法》第九条（第十条）；《道路运输条例》第五十八条；《道路危险货物运输管理规定》第五十二条；</w:t>
            </w:r>
            <w:r>
              <w:rPr>
                <w:rFonts w:ascii="宋体" w:hAnsi="宋体" w:cs="仿宋_GB2312"/>
                <w:color w:val="000000" w:themeColor="text1"/>
                <w:szCs w:val="21"/>
              </w:rPr>
              <w:t>《放射性物品道路</w:t>
            </w: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运输管理规定》第十六条、第十七条；《道路货物运输及站场管理规定》第四十八条、第四十九条。</w:t>
            </w:r>
          </w:p>
        </w:tc>
      </w:tr>
      <w:tr w:rsidR="00A47412" w:rsidTr="00A47412">
        <w:tc>
          <w:tcPr>
            <w:tcW w:w="426" w:type="dxa"/>
            <w:vMerge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</w:p>
        </w:tc>
        <w:tc>
          <w:tcPr>
            <w:tcW w:w="1992" w:type="dxa"/>
            <w:vMerge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道路危险货物运输企业检查</w:t>
            </w:r>
          </w:p>
        </w:tc>
        <w:tc>
          <w:tcPr>
            <w:tcW w:w="1985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道路危险货物运输经营企业、危险货运专用车辆</w:t>
            </w:r>
          </w:p>
        </w:tc>
        <w:tc>
          <w:tcPr>
            <w:tcW w:w="1485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网络系统监管</w:t>
            </w:r>
          </w:p>
        </w:tc>
        <w:tc>
          <w:tcPr>
            <w:tcW w:w="2150" w:type="dxa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vMerge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</w:p>
        </w:tc>
      </w:tr>
      <w:tr w:rsidR="00A47412" w:rsidTr="00A47412">
        <w:trPr>
          <w:trHeight w:val="946"/>
        </w:trPr>
        <w:tc>
          <w:tcPr>
            <w:tcW w:w="426" w:type="dxa"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992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道路运输客运经营的监督检查</w:t>
            </w:r>
          </w:p>
        </w:tc>
        <w:tc>
          <w:tcPr>
            <w:tcW w:w="1693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班车客运经营许可、客运班线许可的监督检查</w:t>
            </w:r>
          </w:p>
        </w:tc>
        <w:tc>
          <w:tcPr>
            <w:tcW w:w="1985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客运企业、班车客运车辆</w:t>
            </w:r>
          </w:p>
        </w:tc>
        <w:tc>
          <w:tcPr>
            <w:tcW w:w="1485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网络系统监管</w:t>
            </w:r>
          </w:p>
        </w:tc>
        <w:tc>
          <w:tcPr>
            <w:tcW w:w="2150" w:type="dxa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《中华人民共和国安全生产法》第十条；《道路运输条例》第五十八条；</w:t>
            </w:r>
            <w:r>
              <w:rPr>
                <w:rFonts w:ascii="宋体" w:hAnsi="宋体" w:cs="仿宋_GB2312"/>
                <w:color w:val="000000" w:themeColor="text1"/>
                <w:szCs w:val="21"/>
              </w:rPr>
              <w:t>《道路旅客运输及客运站管理规定》</w:t>
            </w: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第八十二条</w:t>
            </w:r>
          </w:p>
        </w:tc>
      </w:tr>
      <w:tr w:rsidR="00A47412" w:rsidTr="00A47412">
        <w:tc>
          <w:tcPr>
            <w:tcW w:w="426" w:type="dxa"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992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道路运输站（场）经营的监督检查</w:t>
            </w:r>
          </w:p>
        </w:tc>
        <w:tc>
          <w:tcPr>
            <w:tcW w:w="1693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道路运输客运站（场）经营的监督检查</w:t>
            </w:r>
          </w:p>
        </w:tc>
        <w:tc>
          <w:tcPr>
            <w:tcW w:w="1985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客运输站场经营人</w:t>
            </w:r>
          </w:p>
        </w:tc>
        <w:tc>
          <w:tcPr>
            <w:tcW w:w="1485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</w:tc>
        <w:tc>
          <w:tcPr>
            <w:tcW w:w="2150" w:type="dxa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《中华人民共和国安全生产法》第十条；《道路旅客运输及客运站管理规定》第八十二条；</w:t>
            </w:r>
          </w:p>
        </w:tc>
      </w:tr>
      <w:tr w:rsidR="00A47412" w:rsidTr="00A47412">
        <w:tc>
          <w:tcPr>
            <w:tcW w:w="426" w:type="dxa"/>
            <w:shd w:val="clear" w:color="auto" w:fill="FFFFFF" w:themeFill="background1"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城市公共汽车客运运营服务的检查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城市公共汽车客运运营服务行为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城市公共汽车客运经营人、公交车辆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网络系统监管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《安徽省城市公共汽车客运管理条例》第三十五条</w:t>
            </w:r>
          </w:p>
        </w:tc>
      </w:tr>
      <w:tr w:rsidR="00A47412" w:rsidTr="00A47412">
        <w:tc>
          <w:tcPr>
            <w:tcW w:w="426" w:type="dxa"/>
            <w:shd w:val="clear" w:color="auto" w:fill="FFFFFF" w:themeFill="background1"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巡游出租车经营的监督检查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巡游出租车经营企业的监督检查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巡游出租车经营人、出租车车辆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网络系统监管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《中华人民共和国安全生产法》第十条；《道路运输条例》第五十八条；《出租汽车经营服务管理规定》第四十条</w:t>
            </w:r>
          </w:p>
        </w:tc>
      </w:tr>
      <w:tr w:rsidR="00A47412" w:rsidTr="00A47412">
        <w:tc>
          <w:tcPr>
            <w:tcW w:w="426" w:type="dxa"/>
            <w:shd w:val="clear" w:color="auto" w:fill="FFFFFF" w:themeFill="background1"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机动车驾驶员培训行为的监督检查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机动车驾驶员培训行为的监督检查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驾驶员培训机构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《中华人民共和国安全生产法》第十条；《机动车驾驶员培训管理规定》第四十条、第四十二条</w:t>
            </w:r>
          </w:p>
        </w:tc>
      </w:tr>
      <w:tr w:rsidR="00A47412" w:rsidTr="00A47412">
        <w:tc>
          <w:tcPr>
            <w:tcW w:w="426" w:type="dxa"/>
            <w:shd w:val="clear" w:color="auto" w:fill="FFFFFF" w:themeFill="background1"/>
            <w:vAlign w:val="center"/>
          </w:tcPr>
          <w:p w:rsidR="00A47412" w:rsidRDefault="00A47412">
            <w:pPr>
              <w:jc w:val="center"/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992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机动车维修经营的监督检查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机动车维修经营的监督检查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机动车维修经营人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一般检查事项</w:t>
            </w:r>
          </w:p>
        </w:tc>
        <w:tc>
          <w:tcPr>
            <w:tcW w:w="1237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现场检查</w:t>
            </w:r>
          </w:p>
        </w:tc>
        <w:tc>
          <w:tcPr>
            <w:tcW w:w="2150" w:type="dxa"/>
            <w:shd w:val="clear" w:color="auto" w:fill="FFFFFF" w:themeFill="background1"/>
            <w:vAlign w:val="center"/>
          </w:tcPr>
          <w:p w:rsidR="00A47412" w:rsidRDefault="00A47412" w:rsidP="00A47412">
            <w:pPr>
              <w:jc w:val="center"/>
            </w:pPr>
            <w:r w:rsidRPr="00746711">
              <w:rPr>
                <w:rFonts w:ascii="宋体" w:hAnsi="宋体" w:cs="仿宋_GB2312" w:hint="eastAsia"/>
                <w:color w:val="000000" w:themeColor="text1"/>
                <w:szCs w:val="21"/>
              </w:rPr>
              <w:t>徽州区交通运输局</w:t>
            </w:r>
          </w:p>
        </w:tc>
        <w:tc>
          <w:tcPr>
            <w:tcW w:w="4341" w:type="dxa"/>
            <w:shd w:val="clear" w:color="auto" w:fill="FFFFFF" w:themeFill="background1"/>
            <w:vAlign w:val="center"/>
          </w:tcPr>
          <w:p w:rsidR="00A47412" w:rsidRDefault="00A47412">
            <w:pPr>
              <w:rPr>
                <w:rFonts w:ascii="宋体" w:hAnsi="宋体" w:cs="仿宋_GB2312"/>
                <w:color w:val="000000" w:themeColor="text1"/>
                <w:szCs w:val="21"/>
              </w:rPr>
            </w:pPr>
            <w:r>
              <w:rPr>
                <w:rFonts w:ascii="宋体" w:hAnsi="宋体" w:cs="仿宋_GB2312" w:hint="eastAsia"/>
                <w:color w:val="000000" w:themeColor="text1"/>
                <w:szCs w:val="21"/>
              </w:rPr>
              <w:t>《中华人民共和国安全生产法》第十条；《机动车维修管理规定》第三十六条、第四十五条</w:t>
            </w:r>
          </w:p>
        </w:tc>
      </w:tr>
    </w:tbl>
    <w:p w:rsidR="00600EDA" w:rsidRDefault="00600EDA" w:rsidP="00B23054">
      <w:pPr>
        <w:spacing w:line="40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600EDA" w:rsidSect="00600EDA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69E" w:rsidRDefault="0071569E" w:rsidP="00600EDA">
      <w:r>
        <w:separator/>
      </w:r>
    </w:p>
  </w:endnote>
  <w:endnote w:type="continuationSeparator" w:id="1">
    <w:p w:rsidR="0071569E" w:rsidRDefault="0071569E" w:rsidP="00600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361032"/>
    </w:sdtPr>
    <w:sdtContent>
      <w:sdt>
        <w:sdtPr>
          <w:id w:val="171357217"/>
        </w:sdtPr>
        <w:sdtContent>
          <w:p w:rsidR="00600EDA" w:rsidRDefault="0098278B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63B5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741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63B5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63B5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741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00EDA" w:rsidRDefault="00600E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69E" w:rsidRDefault="0071569E" w:rsidP="00600EDA">
      <w:r>
        <w:separator/>
      </w:r>
    </w:p>
  </w:footnote>
  <w:footnote w:type="continuationSeparator" w:id="1">
    <w:p w:rsidR="0071569E" w:rsidRDefault="0071569E" w:rsidP="00600E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7CF"/>
    <w:rsid w:val="C6B8FAF7"/>
    <w:rsid w:val="F5F5611C"/>
    <w:rsid w:val="F7FFFF66"/>
    <w:rsid w:val="00003651"/>
    <w:rsid w:val="00054555"/>
    <w:rsid w:val="00072229"/>
    <w:rsid w:val="00087ED0"/>
    <w:rsid w:val="000C0BF4"/>
    <w:rsid w:val="000E4A95"/>
    <w:rsid w:val="00123AD3"/>
    <w:rsid w:val="00134022"/>
    <w:rsid w:val="0016367A"/>
    <w:rsid w:val="00163999"/>
    <w:rsid w:val="00171577"/>
    <w:rsid w:val="001935D1"/>
    <w:rsid w:val="001D143F"/>
    <w:rsid w:val="001E47FC"/>
    <w:rsid w:val="001E4DE2"/>
    <w:rsid w:val="002B65A9"/>
    <w:rsid w:val="002C4428"/>
    <w:rsid w:val="002D323D"/>
    <w:rsid w:val="002F06EE"/>
    <w:rsid w:val="002F585A"/>
    <w:rsid w:val="003008D3"/>
    <w:rsid w:val="00396BD5"/>
    <w:rsid w:val="00402855"/>
    <w:rsid w:val="004144B2"/>
    <w:rsid w:val="00424268"/>
    <w:rsid w:val="00434C13"/>
    <w:rsid w:val="004B46B3"/>
    <w:rsid w:val="00506428"/>
    <w:rsid w:val="005333A5"/>
    <w:rsid w:val="0054313F"/>
    <w:rsid w:val="005818A0"/>
    <w:rsid w:val="0058582E"/>
    <w:rsid w:val="005866DB"/>
    <w:rsid w:val="005951A9"/>
    <w:rsid w:val="005B5875"/>
    <w:rsid w:val="005C4BC5"/>
    <w:rsid w:val="00600EDA"/>
    <w:rsid w:val="0061317C"/>
    <w:rsid w:val="00614569"/>
    <w:rsid w:val="006327A2"/>
    <w:rsid w:val="00655EE2"/>
    <w:rsid w:val="00660F49"/>
    <w:rsid w:val="00665329"/>
    <w:rsid w:val="006A1BF7"/>
    <w:rsid w:val="006E1FD0"/>
    <w:rsid w:val="006F4278"/>
    <w:rsid w:val="006F5387"/>
    <w:rsid w:val="0071569E"/>
    <w:rsid w:val="00723685"/>
    <w:rsid w:val="00742BCC"/>
    <w:rsid w:val="00746B5C"/>
    <w:rsid w:val="007519F1"/>
    <w:rsid w:val="0076049A"/>
    <w:rsid w:val="00762C7C"/>
    <w:rsid w:val="00764681"/>
    <w:rsid w:val="00773FC5"/>
    <w:rsid w:val="00780654"/>
    <w:rsid w:val="00783D91"/>
    <w:rsid w:val="007C422D"/>
    <w:rsid w:val="00812C9D"/>
    <w:rsid w:val="00816A27"/>
    <w:rsid w:val="00830745"/>
    <w:rsid w:val="00860075"/>
    <w:rsid w:val="0087564B"/>
    <w:rsid w:val="00893EDE"/>
    <w:rsid w:val="008C3652"/>
    <w:rsid w:val="008E4253"/>
    <w:rsid w:val="00904DC3"/>
    <w:rsid w:val="00934B51"/>
    <w:rsid w:val="009477CF"/>
    <w:rsid w:val="00960BEA"/>
    <w:rsid w:val="0098278B"/>
    <w:rsid w:val="009D14C7"/>
    <w:rsid w:val="009D2985"/>
    <w:rsid w:val="009D35F0"/>
    <w:rsid w:val="009F3BB5"/>
    <w:rsid w:val="009F7221"/>
    <w:rsid w:val="00A13B8E"/>
    <w:rsid w:val="00A47412"/>
    <w:rsid w:val="00A54A56"/>
    <w:rsid w:val="00A946F4"/>
    <w:rsid w:val="00A97D93"/>
    <w:rsid w:val="00AE2324"/>
    <w:rsid w:val="00AF3E95"/>
    <w:rsid w:val="00B12190"/>
    <w:rsid w:val="00B2259D"/>
    <w:rsid w:val="00B23054"/>
    <w:rsid w:val="00B312B0"/>
    <w:rsid w:val="00B61295"/>
    <w:rsid w:val="00B93D33"/>
    <w:rsid w:val="00B94650"/>
    <w:rsid w:val="00BC5D9C"/>
    <w:rsid w:val="00BD5CFC"/>
    <w:rsid w:val="00BE14B7"/>
    <w:rsid w:val="00BF58EC"/>
    <w:rsid w:val="00C13A26"/>
    <w:rsid w:val="00C41D9C"/>
    <w:rsid w:val="00C422BE"/>
    <w:rsid w:val="00C43381"/>
    <w:rsid w:val="00C45DA5"/>
    <w:rsid w:val="00C47749"/>
    <w:rsid w:val="00C963B5"/>
    <w:rsid w:val="00CC07BC"/>
    <w:rsid w:val="00CC32CA"/>
    <w:rsid w:val="00CC4F71"/>
    <w:rsid w:val="00CD04A4"/>
    <w:rsid w:val="00CE0956"/>
    <w:rsid w:val="00D16AD6"/>
    <w:rsid w:val="00D27C5B"/>
    <w:rsid w:val="00D63B7F"/>
    <w:rsid w:val="00D760CE"/>
    <w:rsid w:val="00D97D8D"/>
    <w:rsid w:val="00DB24AD"/>
    <w:rsid w:val="00DC5EBC"/>
    <w:rsid w:val="00DF0247"/>
    <w:rsid w:val="00E67E32"/>
    <w:rsid w:val="00E75BAF"/>
    <w:rsid w:val="00E75C76"/>
    <w:rsid w:val="00E90243"/>
    <w:rsid w:val="00EB3038"/>
    <w:rsid w:val="00EB43B1"/>
    <w:rsid w:val="00EC1DB8"/>
    <w:rsid w:val="00EC7BA8"/>
    <w:rsid w:val="00F14E8C"/>
    <w:rsid w:val="00F22099"/>
    <w:rsid w:val="00F53A41"/>
    <w:rsid w:val="00F9607D"/>
    <w:rsid w:val="00FA0EB6"/>
    <w:rsid w:val="2AC57CFE"/>
    <w:rsid w:val="37FB5C84"/>
    <w:rsid w:val="399DCA53"/>
    <w:rsid w:val="3BBB3276"/>
    <w:rsid w:val="3FDFBB8C"/>
    <w:rsid w:val="6E3CA5B8"/>
    <w:rsid w:val="7A803A89"/>
    <w:rsid w:val="7DEFE6ED"/>
    <w:rsid w:val="7EB7C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0E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00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00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00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600ED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0EDA"/>
    <w:rPr>
      <w:sz w:val="18"/>
      <w:szCs w:val="18"/>
    </w:rPr>
  </w:style>
  <w:style w:type="paragraph" w:styleId="a7">
    <w:name w:val="List Paragraph"/>
    <w:basedOn w:val="a"/>
    <w:uiPriority w:val="34"/>
    <w:qFormat/>
    <w:rsid w:val="00600EDA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00ED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卢山</dc:creator>
  <cp:lastModifiedBy>Administrator</cp:lastModifiedBy>
  <cp:revision>3</cp:revision>
  <cp:lastPrinted>2022-04-13T01:26:00Z</cp:lastPrinted>
  <dcterms:created xsi:type="dcterms:W3CDTF">2022-04-13T01:18:00Z</dcterms:created>
  <dcterms:modified xsi:type="dcterms:W3CDTF">2022-04-13T01:26:00Z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