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54"/>
          <w:szCs w:val="54"/>
        </w:rPr>
      </w:pPr>
    </w:p>
    <w:p>
      <w:pPr>
        <w:jc w:val="center"/>
        <w:rPr>
          <w:rFonts w:ascii="Times New Roman" w:hAnsi="Times New Roman" w:eastAsia="方正小标宋简体"/>
          <w:sz w:val="54"/>
          <w:szCs w:val="54"/>
        </w:rPr>
      </w:pPr>
    </w:p>
    <w:p>
      <w:pPr>
        <w:jc w:val="center"/>
        <w:rPr>
          <w:rFonts w:ascii="Times New Roman" w:hAnsi="Times New Roman" w:eastAsia="方正小标宋简体"/>
          <w:sz w:val="54"/>
          <w:szCs w:val="54"/>
        </w:rPr>
      </w:pPr>
    </w:p>
    <w:p>
      <w:pPr>
        <w:jc w:val="center"/>
        <w:rPr>
          <w:rFonts w:ascii="Times New Roman" w:hAnsi="Times New Roman" w:eastAsia="方正小标宋简体"/>
          <w:sz w:val="54"/>
          <w:szCs w:val="54"/>
        </w:rPr>
      </w:pPr>
      <w:r>
        <w:rPr>
          <w:rFonts w:ascii="Times New Roman" w:hAnsi="Times New Roman" w:eastAsia="方正小标宋简体"/>
          <w:sz w:val="54"/>
          <w:szCs w:val="54"/>
        </w:rPr>
        <w:t>黄山市徽州区国民经济和社会发展</w:t>
      </w:r>
    </w:p>
    <w:p>
      <w:pPr>
        <w:jc w:val="center"/>
        <w:rPr>
          <w:rFonts w:ascii="Times New Roman" w:hAnsi="Times New Roman" w:eastAsia="方正小标宋简体"/>
          <w:sz w:val="54"/>
          <w:szCs w:val="54"/>
        </w:rPr>
      </w:pPr>
      <w:r>
        <w:rPr>
          <w:rFonts w:ascii="Times New Roman" w:hAnsi="Times New Roman" w:eastAsia="方正小标宋简体"/>
          <w:sz w:val="54"/>
          <w:szCs w:val="54"/>
        </w:rPr>
        <w:t>第十四</w:t>
      </w:r>
      <w:r>
        <w:rPr>
          <w:rFonts w:hint="eastAsia" w:ascii="Times New Roman" w:hAnsi="Times New Roman" w:eastAsia="方正小标宋简体"/>
          <w:sz w:val="54"/>
          <w:szCs w:val="54"/>
        </w:rPr>
        <w:t>个</w:t>
      </w:r>
      <w:r>
        <w:rPr>
          <w:rFonts w:ascii="Times New Roman" w:hAnsi="Times New Roman" w:eastAsia="方正小标宋简体"/>
          <w:sz w:val="54"/>
          <w:szCs w:val="54"/>
        </w:rPr>
        <w:t>五年规划和2035年远景目标</w:t>
      </w:r>
    </w:p>
    <w:p>
      <w:pPr>
        <w:jc w:val="center"/>
        <w:rPr>
          <w:rFonts w:ascii="Times New Roman" w:hAnsi="Times New Roman" w:eastAsia="方正小标宋简体"/>
          <w:sz w:val="54"/>
          <w:szCs w:val="54"/>
        </w:rPr>
      </w:pPr>
      <w:r>
        <w:rPr>
          <w:rFonts w:ascii="Times New Roman" w:hAnsi="Times New Roman" w:eastAsia="方正小标宋简体"/>
          <w:sz w:val="54"/>
          <w:szCs w:val="54"/>
        </w:rPr>
        <w:t>纲要</w:t>
      </w:r>
    </w:p>
    <w:p>
      <w:pPr>
        <w:pStyle w:val="11"/>
        <w:ind w:firstLine="321"/>
        <w:rPr>
          <w:rFonts w:ascii="Times New Roman" w:hAnsi="Times New Roman"/>
          <w:b/>
          <w:bCs/>
          <w:sz w:val="32"/>
          <w:szCs w:val="32"/>
        </w:rPr>
      </w:pPr>
    </w:p>
    <w:p>
      <w:pPr>
        <w:pStyle w:val="11"/>
        <w:ind w:firstLine="321"/>
        <w:rPr>
          <w:rFonts w:ascii="Times New Roman" w:hAnsi="Times New Roman"/>
          <w:b/>
          <w:bCs/>
          <w:sz w:val="32"/>
          <w:szCs w:val="32"/>
        </w:rPr>
      </w:pPr>
    </w:p>
    <w:p>
      <w:pPr>
        <w:pStyle w:val="11"/>
        <w:ind w:firstLine="321"/>
        <w:rPr>
          <w:rFonts w:ascii="Times New Roman" w:hAnsi="Times New Roman"/>
          <w:b/>
          <w:bCs/>
          <w:sz w:val="32"/>
          <w:szCs w:val="32"/>
        </w:rPr>
      </w:pPr>
    </w:p>
    <w:p>
      <w:pPr>
        <w:pStyle w:val="11"/>
        <w:ind w:firstLine="321"/>
        <w:rPr>
          <w:rFonts w:ascii="Times New Roman" w:hAnsi="Times New Roman"/>
          <w:b/>
          <w:bCs/>
          <w:sz w:val="32"/>
          <w:szCs w:val="32"/>
        </w:rPr>
      </w:pPr>
    </w:p>
    <w:p>
      <w:pPr>
        <w:pStyle w:val="11"/>
        <w:ind w:firstLine="321"/>
        <w:rPr>
          <w:rFonts w:ascii="Times New Roman" w:hAnsi="Times New Roman"/>
          <w:b/>
          <w:bCs/>
          <w:sz w:val="32"/>
          <w:szCs w:val="32"/>
        </w:rPr>
      </w:pPr>
    </w:p>
    <w:p>
      <w:pPr>
        <w:pStyle w:val="11"/>
        <w:ind w:firstLine="321"/>
        <w:rPr>
          <w:rFonts w:ascii="Times New Roman" w:hAnsi="Times New Roman"/>
          <w:b/>
          <w:bCs/>
          <w:sz w:val="32"/>
          <w:szCs w:val="32"/>
        </w:rPr>
      </w:pPr>
    </w:p>
    <w:p>
      <w:pPr>
        <w:pStyle w:val="11"/>
        <w:ind w:firstLine="402"/>
        <w:rPr>
          <w:rFonts w:ascii="Times New Roman" w:hAnsi="Times New Roman" w:eastAsia="楷体_GB2312"/>
          <w:b/>
          <w:bCs/>
          <w:sz w:val="40"/>
          <w:szCs w:val="40"/>
        </w:rPr>
      </w:pPr>
    </w:p>
    <w:p>
      <w:pPr>
        <w:pStyle w:val="11"/>
        <w:ind w:firstLine="402"/>
        <w:rPr>
          <w:rFonts w:ascii="Times New Roman" w:hAnsi="Times New Roman" w:eastAsia="楷体_GB2312"/>
          <w:b/>
          <w:bCs/>
          <w:sz w:val="40"/>
          <w:szCs w:val="40"/>
        </w:rPr>
      </w:pPr>
    </w:p>
    <w:p>
      <w:pPr>
        <w:pStyle w:val="11"/>
        <w:ind w:firstLine="402"/>
        <w:rPr>
          <w:rFonts w:ascii="Times New Roman" w:hAnsi="Times New Roman" w:eastAsia="楷体_GB2312"/>
          <w:b/>
          <w:bCs/>
          <w:sz w:val="40"/>
          <w:szCs w:val="40"/>
        </w:rPr>
      </w:pPr>
    </w:p>
    <w:p>
      <w:pPr>
        <w:pStyle w:val="11"/>
        <w:ind w:firstLine="402"/>
        <w:rPr>
          <w:rFonts w:ascii="Times New Roman" w:hAnsi="Times New Roman" w:eastAsia="楷体_GB2312"/>
          <w:b/>
          <w:bCs/>
          <w:sz w:val="40"/>
          <w:szCs w:val="40"/>
        </w:rPr>
      </w:pPr>
    </w:p>
    <w:p>
      <w:pPr>
        <w:pStyle w:val="11"/>
        <w:ind w:firstLine="402"/>
        <w:jc w:val="center"/>
        <w:rPr>
          <w:rFonts w:ascii="Times New Roman" w:hAnsi="Times New Roman" w:eastAsia="楷体_GB2312"/>
          <w:b/>
          <w:bCs/>
          <w:sz w:val="40"/>
          <w:szCs w:val="40"/>
        </w:rPr>
      </w:pPr>
      <w:r>
        <w:rPr>
          <w:rFonts w:ascii="Times New Roman" w:hAnsi="Times New Roman" w:eastAsia="楷体_GB2312"/>
          <w:b/>
          <w:bCs/>
          <w:sz w:val="40"/>
          <w:szCs w:val="40"/>
        </w:rPr>
        <w:t>黄山市徽州区人民政府</w:t>
      </w:r>
    </w:p>
    <w:p>
      <w:pPr>
        <w:pStyle w:val="11"/>
        <w:ind w:firstLine="402"/>
        <w:jc w:val="center"/>
        <w:rPr>
          <w:rFonts w:ascii="Times New Roman" w:hAnsi="Times New Roman" w:eastAsia="楷体_GB2312"/>
          <w:b/>
          <w:bCs/>
          <w:sz w:val="40"/>
          <w:szCs w:val="40"/>
        </w:rPr>
      </w:pPr>
      <w:r>
        <w:rPr>
          <w:rFonts w:ascii="Times New Roman" w:hAnsi="Times New Roman" w:eastAsia="楷体_GB2312"/>
          <w:b/>
          <w:bCs/>
          <w:sz w:val="40"/>
          <w:szCs w:val="40"/>
        </w:rPr>
        <w:t>2021年</w:t>
      </w:r>
      <w:r>
        <w:rPr>
          <w:rFonts w:hint="eastAsia" w:ascii="Times New Roman" w:hAnsi="Times New Roman" w:eastAsia="楷体_GB2312"/>
          <w:b/>
          <w:bCs/>
          <w:sz w:val="40"/>
          <w:szCs w:val="40"/>
        </w:rPr>
        <w:t>9</w:t>
      </w:r>
      <w:r>
        <w:rPr>
          <w:rFonts w:ascii="Times New Roman" w:hAnsi="Times New Roman" w:eastAsia="楷体_GB2312"/>
          <w:b/>
          <w:bCs/>
          <w:sz w:val="40"/>
          <w:szCs w:val="40"/>
        </w:rPr>
        <w:t>月</w:t>
      </w:r>
    </w:p>
    <w:p>
      <w:pPr>
        <w:jc w:val="center"/>
        <w:rPr>
          <w:rFonts w:ascii="Times New Roman" w:hAnsi="Times New Roman" w:eastAsia="黑体"/>
          <w:sz w:val="44"/>
          <w:szCs w:val="44"/>
        </w:rPr>
      </w:pPr>
      <w:r>
        <w:rPr>
          <w:rFonts w:ascii="Times New Roman" w:hAnsi="Times New Roman" w:eastAsia="黑体"/>
          <w:sz w:val="44"/>
          <w:szCs w:val="44"/>
        </w:rPr>
        <w:t>目    录</w:t>
      </w:r>
    </w:p>
    <w:p>
      <w:pPr>
        <w:pStyle w:val="11"/>
        <w:ind w:firstLine="280"/>
        <w:rPr>
          <w:rFonts w:ascii="Times New Roman" w:hAnsi="Times New Roman"/>
          <w:sz w:val="28"/>
          <w:szCs w:val="28"/>
        </w:rPr>
      </w:pPr>
    </w:p>
    <w:p>
      <w:pPr>
        <w:pStyle w:val="9"/>
        <w:tabs>
          <w:tab w:val="right" w:leader="dot" w:pos="9072"/>
        </w:tabs>
        <w:rPr>
          <w:rFonts w:ascii="Times New Roman" w:hAnsi="Times New Roman"/>
          <w:sz w:val="30"/>
          <w:szCs w:val="30"/>
        </w:rPr>
      </w:pPr>
      <w:r>
        <w:rPr>
          <w:rFonts w:ascii="Times New Roman" w:hAnsi="Times New Roman" w:eastAsia="方正小标宋简体"/>
          <w:sz w:val="30"/>
          <w:szCs w:val="30"/>
        </w:rPr>
        <w:fldChar w:fldCharType="begin"/>
      </w:r>
      <w:r>
        <w:rPr>
          <w:rFonts w:ascii="Times New Roman" w:hAnsi="Times New Roman" w:eastAsia="方正小标宋简体"/>
          <w:sz w:val="30"/>
          <w:szCs w:val="30"/>
        </w:rPr>
        <w:instrText xml:space="preserve">TOC \o "1-3" \h \u </w:instrText>
      </w:r>
      <w:r>
        <w:rPr>
          <w:rFonts w:ascii="Times New Roman" w:hAnsi="Times New Roman" w:eastAsia="方正小标宋简体"/>
          <w:sz w:val="30"/>
          <w:szCs w:val="30"/>
        </w:rPr>
        <w:fldChar w:fldCharType="separate"/>
      </w:r>
      <w:r>
        <w:fldChar w:fldCharType="begin"/>
      </w:r>
      <w:r>
        <w:instrText xml:space="preserve"> HYPERLINK \l "_Toc8607" </w:instrText>
      </w:r>
      <w:r>
        <w:fldChar w:fldCharType="separate"/>
      </w:r>
      <w:r>
        <w:rPr>
          <w:rFonts w:ascii="Times New Roman" w:hAnsi="Times New Roman" w:eastAsia="黑体"/>
          <w:bCs/>
          <w:sz w:val="30"/>
          <w:szCs w:val="30"/>
        </w:rPr>
        <w:t>黄山市徽州区国民经济和社会发展第十四个五年规划和2035年远景目标纲要</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_Toc8607 </w:instrText>
      </w:r>
      <w:r>
        <w:rPr>
          <w:rFonts w:ascii="Times New Roman" w:hAnsi="Times New Roman"/>
          <w:sz w:val="30"/>
          <w:szCs w:val="30"/>
        </w:rPr>
        <w:fldChar w:fldCharType="separate"/>
      </w:r>
      <w:r>
        <w:rPr>
          <w:rFonts w:ascii="Times New Roman" w:hAnsi="Times New Roman"/>
          <w:sz w:val="30"/>
          <w:szCs w:val="30"/>
        </w:rPr>
        <w:t>11</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"_Toc245" </w:instrText>
      </w:r>
      <w:r>
        <w:fldChar w:fldCharType="separate"/>
      </w:r>
      <w:r>
        <w:rPr>
          <w:rFonts w:ascii="Times New Roman" w:hAnsi="Times New Roman" w:eastAsia="黑体"/>
          <w:bCs/>
          <w:sz w:val="30"/>
          <w:szCs w:val="30"/>
        </w:rPr>
        <w:t>第一章 决胜全面建成小康社会  开启新阶段加快建设富裕和谐美丽现代化新徽州新征程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_Toc245 </w:instrText>
      </w:r>
      <w:r>
        <w:rPr>
          <w:rFonts w:ascii="Times New Roman" w:hAnsi="Times New Roman"/>
          <w:sz w:val="30"/>
          <w:szCs w:val="30"/>
        </w:rPr>
        <w:fldChar w:fldCharType="separate"/>
      </w:r>
      <w:r>
        <w:rPr>
          <w:rFonts w:ascii="Times New Roman" w:hAnsi="Times New Roman"/>
          <w:sz w:val="30"/>
          <w:szCs w:val="30"/>
        </w:rPr>
        <w:t>12</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"_Toc23559" </w:instrText>
      </w:r>
      <w:r>
        <w:fldChar w:fldCharType="separate"/>
      </w:r>
      <w:r>
        <w:rPr>
          <w:rFonts w:ascii="Times New Roman" w:hAnsi="Times New Roman" w:eastAsia="楷体_GB2312"/>
          <w:sz w:val="30"/>
          <w:szCs w:val="30"/>
        </w:rPr>
        <w:t>第一节  决胜全面建成小康社会取得决定性成就</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_Toc23559 </w:instrText>
      </w:r>
      <w:r>
        <w:rPr>
          <w:rFonts w:ascii="Times New Roman" w:hAnsi="Times New Roman"/>
          <w:sz w:val="30"/>
          <w:szCs w:val="30"/>
        </w:rPr>
        <w:fldChar w:fldCharType="separate"/>
      </w:r>
      <w:r>
        <w:rPr>
          <w:rFonts w:ascii="Times New Roman" w:hAnsi="Times New Roman"/>
          <w:sz w:val="30"/>
          <w:szCs w:val="30"/>
        </w:rPr>
        <w:t>12</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"_Toc17537" </w:instrText>
      </w:r>
      <w:r>
        <w:fldChar w:fldCharType="separate"/>
      </w:r>
      <w:r>
        <w:rPr>
          <w:rFonts w:ascii="Times New Roman" w:hAnsi="Times New Roman"/>
          <w:bCs/>
          <w:sz w:val="30"/>
          <w:szCs w:val="30"/>
        </w:rPr>
        <w:t>专栏1  徽州区“十三五”发展目标指标完成情况</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_Toc17537 </w:instrText>
      </w:r>
      <w:r>
        <w:rPr>
          <w:rFonts w:ascii="Times New Roman" w:hAnsi="Times New Roman"/>
          <w:sz w:val="30"/>
          <w:szCs w:val="30"/>
        </w:rPr>
        <w:fldChar w:fldCharType="separate"/>
      </w:r>
      <w:r>
        <w:rPr>
          <w:rFonts w:ascii="Times New Roman" w:hAnsi="Times New Roman"/>
          <w:sz w:val="30"/>
          <w:szCs w:val="30"/>
        </w:rPr>
        <w:t>17</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"_Toc12076" </w:instrText>
      </w:r>
      <w:r>
        <w:fldChar w:fldCharType="separate"/>
      </w:r>
      <w:r>
        <w:rPr>
          <w:rFonts w:ascii="Times New Roman" w:hAnsi="Times New Roman" w:eastAsia="楷体_GB2312"/>
          <w:sz w:val="30"/>
          <w:szCs w:val="30"/>
        </w:rPr>
        <w:t>第二节  进入加快建设富裕和谐美丽现代化新徽州的新发展阶段</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_Toc12076 </w:instrText>
      </w:r>
      <w:r>
        <w:rPr>
          <w:rFonts w:ascii="Times New Roman" w:hAnsi="Times New Roman"/>
          <w:sz w:val="30"/>
          <w:szCs w:val="30"/>
        </w:rPr>
        <w:fldChar w:fldCharType="separate"/>
      </w:r>
      <w:r>
        <w:rPr>
          <w:rFonts w:ascii="Times New Roman" w:hAnsi="Times New Roman"/>
          <w:sz w:val="30"/>
          <w:szCs w:val="30"/>
        </w:rPr>
        <w:t>19</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"_Toc3924" </w:instrText>
      </w:r>
      <w:r>
        <w:fldChar w:fldCharType="separate"/>
      </w:r>
      <w:r>
        <w:rPr>
          <w:rFonts w:ascii="Times New Roman" w:hAnsi="Times New Roman" w:eastAsia="楷体_GB2312"/>
          <w:sz w:val="30"/>
          <w:szCs w:val="30"/>
        </w:rPr>
        <w:t>第三节  指导思想</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_Toc3924 </w:instrText>
      </w:r>
      <w:r>
        <w:rPr>
          <w:rFonts w:ascii="Times New Roman" w:hAnsi="Times New Roman"/>
          <w:sz w:val="30"/>
          <w:szCs w:val="30"/>
        </w:rPr>
        <w:fldChar w:fldCharType="separate"/>
      </w:r>
      <w:r>
        <w:rPr>
          <w:rFonts w:ascii="Times New Roman" w:hAnsi="Times New Roman"/>
          <w:sz w:val="30"/>
          <w:szCs w:val="30"/>
        </w:rPr>
        <w:t>21</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"_Toc10518" </w:instrText>
      </w:r>
      <w:r>
        <w:fldChar w:fldCharType="separate"/>
      </w:r>
      <w:r>
        <w:rPr>
          <w:rFonts w:ascii="Times New Roman" w:hAnsi="Times New Roman" w:eastAsia="楷体_GB2312"/>
          <w:sz w:val="30"/>
          <w:szCs w:val="30"/>
        </w:rPr>
        <w:t>第四节 主要目标</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_Toc10518 </w:instrText>
      </w:r>
      <w:r>
        <w:rPr>
          <w:rFonts w:ascii="Times New Roman" w:hAnsi="Times New Roman"/>
          <w:sz w:val="30"/>
          <w:szCs w:val="30"/>
        </w:rPr>
        <w:fldChar w:fldCharType="separate"/>
      </w:r>
      <w:r>
        <w:rPr>
          <w:rFonts w:ascii="Times New Roman" w:hAnsi="Times New Roman"/>
          <w:sz w:val="30"/>
          <w:szCs w:val="30"/>
        </w:rPr>
        <w:t>25</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"_Toc7439" </w:instrText>
      </w:r>
      <w:r>
        <w:fldChar w:fldCharType="separate"/>
      </w:r>
      <w:r>
        <w:rPr>
          <w:rFonts w:ascii="Times New Roman" w:hAnsi="Times New Roman"/>
          <w:bCs/>
          <w:sz w:val="30"/>
          <w:szCs w:val="30"/>
        </w:rPr>
        <w:t>专栏2  徽州区“十四五”经济社会发展主要目标</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_Toc7439 </w:instrText>
      </w:r>
      <w:r>
        <w:rPr>
          <w:rFonts w:ascii="Times New Roman" w:hAnsi="Times New Roman"/>
          <w:sz w:val="30"/>
          <w:szCs w:val="30"/>
        </w:rPr>
        <w:fldChar w:fldCharType="separate"/>
      </w:r>
      <w:r>
        <w:rPr>
          <w:rFonts w:ascii="Times New Roman" w:hAnsi="Times New Roman"/>
          <w:sz w:val="30"/>
          <w:szCs w:val="30"/>
        </w:rPr>
        <w:t>29</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"_Toc28057" </w:instrText>
      </w:r>
      <w:r>
        <w:fldChar w:fldCharType="separate"/>
      </w:r>
      <w:r>
        <w:rPr>
          <w:rFonts w:ascii="Times New Roman" w:hAnsi="Times New Roman" w:eastAsia="黑体"/>
          <w:bCs/>
          <w:sz w:val="30"/>
          <w:szCs w:val="30"/>
        </w:rPr>
        <w:t>第二章  坚持创新核心地位  加快建设要素集聚的创新型徽州</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_Toc28057 </w:instrText>
      </w:r>
      <w:r>
        <w:rPr>
          <w:rFonts w:ascii="Times New Roman" w:hAnsi="Times New Roman"/>
          <w:sz w:val="30"/>
          <w:szCs w:val="30"/>
        </w:rPr>
        <w:fldChar w:fldCharType="separate"/>
      </w:r>
      <w:r>
        <w:rPr>
          <w:rFonts w:ascii="Times New Roman" w:hAnsi="Times New Roman"/>
          <w:sz w:val="30"/>
          <w:szCs w:val="30"/>
        </w:rPr>
        <w:t>31</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"_Toc26123" </w:instrText>
      </w:r>
      <w:r>
        <w:fldChar w:fldCharType="separate"/>
      </w:r>
      <w:r>
        <w:rPr>
          <w:rFonts w:ascii="Times New Roman" w:hAnsi="Times New Roman" w:eastAsia="楷体_GB2312"/>
          <w:sz w:val="30"/>
          <w:szCs w:val="30"/>
        </w:rPr>
        <w:t>第一节  推进科创平台建设</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_Toc26123 </w:instrText>
      </w:r>
      <w:r>
        <w:rPr>
          <w:rFonts w:ascii="Times New Roman" w:hAnsi="Times New Roman"/>
          <w:sz w:val="30"/>
          <w:szCs w:val="30"/>
        </w:rPr>
        <w:fldChar w:fldCharType="separate"/>
      </w:r>
      <w:r>
        <w:rPr>
          <w:rFonts w:ascii="Times New Roman" w:hAnsi="Times New Roman"/>
          <w:sz w:val="30"/>
          <w:szCs w:val="30"/>
        </w:rPr>
        <w:t>31</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"_Toc12338" </w:instrText>
      </w:r>
      <w:r>
        <w:fldChar w:fldCharType="separate"/>
      </w:r>
      <w:r>
        <w:rPr>
          <w:rFonts w:ascii="Times New Roman" w:hAnsi="Times New Roman" w:eastAsia="楷体_GB2312"/>
          <w:sz w:val="30"/>
          <w:szCs w:val="30"/>
        </w:rPr>
        <w:t>第二节  提升企业技术创新能力</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_Toc12338 </w:instrText>
      </w:r>
      <w:r>
        <w:rPr>
          <w:rFonts w:ascii="Times New Roman" w:hAnsi="Times New Roman"/>
          <w:sz w:val="30"/>
          <w:szCs w:val="30"/>
        </w:rPr>
        <w:fldChar w:fldCharType="separate"/>
      </w:r>
      <w:r>
        <w:rPr>
          <w:rFonts w:ascii="Times New Roman" w:hAnsi="Times New Roman"/>
          <w:sz w:val="30"/>
          <w:szCs w:val="30"/>
        </w:rPr>
        <w:t>32</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"_Toc8756" </w:instrText>
      </w:r>
      <w:r>
        <w:fldChar w:fldCharType="separate"/>
      </w:r>
      <w:r>
        <w:rPr>
          <w:rFonts w:ascii="Times New Roman" w:hAnsi="Times New Roman" w:eastAsia="楷体_GB2312"/>
          <w:sz w:val="30"/>
          <w:szCs w:val="30"/>
        </w:rPr>
        <w:t>第三节  激发人才创新活力</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_Toc8756 </w:instrText>
      </w:r>
      <w:r>
        <w:rPr>
          <w:rFonts w:ascii="Times New Roman" w:hAnsi="Times New Roman"/>
          <w:sz w:val="30"/>
          <w:szCs w:val="30"/>
        </w:rPr>
        <w:fldChar w:fldCharType="separate"/>
      </w:r>
      <w:r>
        <w:rPr>
          <w:rFonts w:ascii="Times New Roman" w:hAnsi="Times New Roman"/>
          <w:sz w:val="30"/>
          <w:szCs w:val="30"/>
        </w:rPr>
        <w:t>33</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"_Toc23036" </w:instrText>
      </w:r>
      <w:r>
        <w:fldChar w:fldCharType="separate"/>
      </w:r>
      <w:r>
        <w:rPr>
          <w:rFonts w:ascii="Times New Roman" w:hAnsi="Times New Roman"/>
          <w:bCs/>
          <w:sz w:val="30"/>
          <w:szCs w:val="30"/>
        </w:rPr>
        <w:t>专栏3  科技创新能力提升工程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_Toc23036 </w:instrText>
      </w:r>
      <w:r>
        <w:rPr>
          <w:rFonts w:ascii="Times New Roman" w:hAnsi="Times New Roman"/>
          <w:sz w:val="30"/>
          <w:szCs w:val="30"/>
        </w:rPr>
        <w:fldChar w:fldCharType="separate"/>
      </w:r>
      <w:r>
        <w:rPr>
          <w:rFonts w:ascii="Times New Roman" w:hAnsi="Times New Roman"/>
          <w:sz w:val="30"/>
          <w:szCs w:val="30"/>
        </w:rPr>
        <w:t>35</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"_Toc19371" </w:instrText>
      </w:r>
      <w:r>
        <w:fldChar w:fldCharType="separate"/>
      </w:r>
      <w:r>
        <w:rPr>
          <w:rFonts w:ascii="Times New Roman" w:hAnsi="Times New Roman" w:eastAsia="黑体"/>
          <w:bCs/>
          <w:sz w:val="30"/>
          <w:szCs w:val="30"/>
        </w:rPr>
        <w:t>第三章  坚持产业兴区战略  加快构建现代产业体系</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_Toc19371 </w:instrText>
      </w:r>
      <w:r>
        <w:rPr>
          <w:rFonts w:ascii="Times New Roman" w:hAnsi="Times New Roman"/>
          <w:sz w:val="30"/>
          <w:szCs w:val="30"/>
        </w:rPr>
        <w:fldChar w:fldCharType="separate"/>
      </w:r>
      <w:r>
        <w:rPr>
          <w:rFonts w:ascii="Times New Roman" w:hAnsi="Times New Roman"/>
          <w:sz w:val="30"/>
          <w:szCs w:val="30"/>
        </w:rPr>
        <w:t>36</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"_Toc9275" </w:instrText>
      </w:r>
      <w:r>
        <w:fldChar w:fldCharType="separate"/>
      </w:r>
      <w:r>
        <w:rPr>
          <w:rFonts w:ascii="Times New Roman" w:hAnsi="Times New Roman" w:eastAsia="楷体_GB2312"/>
          <w:sz w:val="30"/>
          <w:szCs w:val="30"/>
        </w:rPr>
        <w:t>第一节  推动主导产业高质量发展</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_Toc9275 </w:instrText>
      </w:r>
      <w:r>
        <w:rPr>
          <w:rFonts w:ascii="Times New Roman" w:hAnsi="Times New Roman"/>
          <w:sz w:val="30"/>
          <w:szCs w:val="30"/>
        </w:rPr>
        <w:fldChar w:fldCharType="separate"/>
      </w:r>
      <w:r>
        <w:rPr>
          <w:rFonts w:ascii="Times New Roman" w:hAnsi="Times New Roman"/>
          <w:sz w:val="30"/>
          <w:szCs w:val="30"/>
        </w:rPr>
        <w:t>36</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"_Toc26533" </w:instrText>
      </w:r>
      <w:r>
        <w:fldChar w:fldCharType="separate"/>
      </w:r>
      <w:r>
        <w:rPr>
          <w:rFonts w:ascii="Times New Roman" w:hAnsi="Times New Roman"/>
          <w:bCs/>
          <w:sz w:val="30"/>
          <w:szCs w:val="30"/>
        </w:rPr>
        <w:t>专栏4  主导产业集群高质量发展工程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_Toc26533 </w:instrText>
      </w:r>
      <w:r>
        <w:rPr>
          <w:rFonts w:ascii="Times New Roman" w:hAnsi="Times New Roman"/>
          <w:sz w:val="30"/>
          <w:szCs w:val="30"/>
        </w:rPr>
        <w:fldChar w:fldCharType="separate"/>
      </w:r>
      <w:r>
        <w:rPr>
          <w:rFonts w:ascii="Times New Roman" w:hAnsi="Times New Roman"/>
          <w:sz w:val="30"/>
          <w:szCs w:val="30"/>
        </w:rPr>
        <w:t>39</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"_Toc29770" </w:instrText>
      </w:r>
      <w:r>
        <w:fldChar w:fldCharType="separate"/>
      </w:r>
      <w:r>
        <w:rPr>
          <w:rFonts w:ascii="Times New Roman" w:hAnsi="Times New Roman" w:eastAsia="楷体_GB2312"/>
          <w:sz w:val="30"/>
          <w:szCs w:val="30"/>
        </w:rPr>
        <w:t>第二节  培育壮大战新高新产业</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_Toc29770 </w:instrText>
      </w:r>
      <w:r>
        <w:rPr>
          <w:rFonts w:ascii="Times New Roman" w:hAnsi="Times New Roman"/>
          <w:sz w:val="30"/>
          <w:szCs w:val="30"/>
        </w:rPr>
        <w:fldChar w:fldCharType="separate"/>
      </w:r>
      <w:r>
        <w:rPr>
          <w:rFonts w:ascii="Times New Roman" w:hAnsi="Times New Roman"/>
          <w:sz w:val="30"/>
          <w:szCs w:val="30"/>
        </w:rPr>
        <w:t>39</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"_Toc20258" </w:instrText>
      </w:r>
      <w:r>
        <w:fldChar w:fldCharType="separate"/>
      </w:r>
      <w:r>
        <w:rPr>
          <w:rFonts w:ascii="Times New Roman" w:hAnsi="Times New Roman"/>
          <w:bCs/>
          <w:sz w:val="30"/>
          <w:szCs w:val="30"/>
        </w:rPr>
        <w:t>专栏5  战新高新高质量发展工程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_Toc20258 </w:instrText>
      </w:r>
      <w:r>
        <w:rPr>
          <w:rFonts w:ascii="Times New Roman" w:hAnsi="Times New Roman"/>
          <w:sz w:val="30"/>
          <w:szCs w:val="30"/>
        </w:rPr>
        <w:fldChar w:fldCharType="separate"/>
      </w:r>
      <w:r>
        <w:rPr>
          <w:rFonts w:ascii="Times New Roman" w:hAnsi="Times New Roman"/>
          <w:sz w:val="30"/>
          <w:szCs w:val="30"/>
        </w:rPr>
        <w:t>42</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"_Toc27633" </w:instrText>
      </w:r>
      <w:r>
        <w:fldChar w:fldCharType="separate"/>
      </w:r>
      <w:r>
        <w:rPr>
          <w:rFonts w:ascii="Times New Roman" w:hAnsi="Times New Roman" w:eastAsia="楷体_GB2312"/>
          <w:sz w:val="30"/>
          <w:szCs w:val="30"/>
        </w:rPr>
        <w:t>第三节  加快发展现代服务业</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_Toc27633 </w:instrText>
      </w:r>
      <w:r>
        <w:rPr>
          <w:rFonts w:ascii="Times New Roman" w:hAnsi="Times New Roman"/>
          <w:sz w:val="30"/>
          <w:szCs w:val="30"/>
        </w:rPr>
        <w:fldChar w:fldCharType="separate"/>
      </w:r>
      <w:r>
        <w:rPr>
          <w:rFonts w:ascii="Times New Roman" w:hAnsi="Times New Roman"/>
          <w:sz w:val="30"/>
          <w:szCs w:val="30"/>
        </w:rPr>
        <w:t>43</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"_Toc15981" </w:instrText>
      </w:r>
      <w:r>
        <w:fldChar w:fldCharType="separate"/>
      </w:r>
      <w:r>
        <w:rPr>
          <w:rFonts w:ascii="Times New Roman" w:hAnsi="Times New Roman"/>
          <w:bCs/>
          <w:sz w:val="30"/>
          <w:szCs w:val="30"/>
        </w:rPr>
        <w:t>专栏6  现代服务业集聚发展工程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_Toc15981 </w:instrText>
      </w:r>
      <w:r>
        <w:rPr>
          <w:rFonts w:ascii="Times New Roman" w:hAnsi="Times New Roman"/>
          <w:sz w:val="30"/>
          <w:szCs w:val="30"/>
        </w:rPr>
        <w:fldChar w:fldCharType="separate"/>
      </w:r>
      <w:r>
        <w:rPr>
          <w:rFonts w:ascii="Times New Roman" w:hAnsi="Times New Roman"/>
          <w:sz w:val="30"/>
          <w:szCs w:val="30"/>
        </w:rPr>
        <w:t>45</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"_Toc31085" </w:instrText>
      </w:r>
      <w:r>
        <w:fldChar w:fldCharType="separate"/>
      </w:r>
      <w:r>
        <w:rPr>
          <w:rFonts w:ascii="Times New Roman" w:hAnsi="Times New Roman" w:eastAsia="楷体_GB2312"/>
          <w:sz w:val="30"/>
          <w:szCs w:val="30"/>
        </w:rPr>
        <w:t>第四节  推进开发区改革创新</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_Toc31085 </w:instrText>
      </w:r>
      <w:r>
        <w:rPr>
          <w:rFonts w:ascii="Times New Roman" w:hAnsi="Times New Roman"/>
          <w:sz w:val="30"/>
          <w:szCs w:val="30"/>
        </w:rPr>
        <w:fldChar w:fldCharType="separate"/>
      </w:r>
      <w:r>
        <w:rPr>
          <w:rFonts w:ascii="Times New Roman" w:hAnsi="Times New Roman"/>
          <w:sz w:val="30"/>
          <w:szCs w:val="30"/>
        </w:rPr>
        <w:t>45</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"_Toc27012" </w:instrText>
      </w:r>
      <w:r>
        <w:fldChar w:fldCharType="separate"/>
      </w:r>
      <w:r>
        <w:rPr>
          <w:rFonts w:ascii="Times New Roman" w:hAnsi="Times New Roman"/>
          <w:bCs/>
          <w:sz w:val="30"/>
          <w:szCs w:val="30"/>
        </w:rPr>
        <w:t>专栏7  开发区改革创新高质量发展工程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_Toc27012 </w:instrText>
      </w:r>
      <w:r>
        <w:rPr>
          <w:rFonts w:ascii="Times New Roman" w:hAnsi="Times New Roman"/>
          <w:sz w:val="30"/>
          <w:szCs w:val="30"/>
        </w:rPr>
        <w:fldChar w:fldCharType="separate"/>
      </w:r>
      <w:r>
        <w:rPr>
          <w:rFonts w:ascii="Times New Roman" w:hAnsi="Times New Roman"/>
          <w:sz w:val="30"/>
          <w:szCs w:val="30"/>
        </w:rPr>
        <w:t>47</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"_Toc19629" </w:instrText>
      </w:r>
      <w:r>
        <w:fldChar w:fldCharType="separate"/>
      </w:r>
      <w:r>
        <w:rPr>
          <w:rFonts w:ascii="Times New Roman" w:hAnsi="Times New Roman" w:eastAsia="黑体"/>
          <w:bCs/>
          <w:sz w:val="30"/>
          <w:szCs w:val="30"/>
        </w:rPr>
        <w:t>第四章  坚持文旅名区战略  打造具有浓郁吸引力的文旅目的地</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_Toc19629 </w:instrText>
      </w:r>
      <w:r>
        <w:rPr>
          <w:rFonts w:ascii="Times New Roman" w:hAnsi="Times New Roman"/>
          <w:sz w:val="30"/>
          <w:szCs w:val="30"/>
        </w:rPr>
        <w:fldChar w:fldCharType="separate"/>
      </w:r>
      <w:r>
        <w:rPr>
          <w:rFonts w:ascii="Times New Roman" w:hAnsi="Times New Roman"/>
          <w:sz w:val="30"/>
          <w:szCs w:val="30"/>
        </w:rPr>
        <w:t>47</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"_Toc1240" </w:instrText>
      </w:r>
      <w:r>
        <w:fldChar w:fldCharType="separate"/>
      </w:r>
      <w:r>
        <w:rPr>
          <w:rFonts w:ascii="Times New Roman" w:hAnsi="Times New Roman" w:eastAsia="楷体_GB2312"/>
          <w:sz w:val="30"/>
          <w:szCs w:val="30"/>
        </w:rPr>
        <w:t>第一节  打响徽州特色旅游品牌</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_Toc1240 </w:instrText>
      </w:r>
      <w:r>
        <w:rPr>
          <w:rFonts w:ascii="Times New Roman" w:hAnsi="Times New Roman"/>
          <w:sz w:val="30"/>
          <w:szCs w:val="30"/>
        </w:rPr>
        <w:fldChar w:fldCharType="separate"/>
      </w:r>
      <w:r>
        <w:rPr>
          <w:rFonts w:ascii="Times New Roman" w:hAnsi="Times New Roman"/>
          <w:sz w:val="30"/>
          <w:szCs w:val="30"/>
        </w:rPr>
        <w:t>48</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"_Toc918" </w:instrText>
      </w:r>
      <w:r>
        <w:fldChar w:fldCharType="separate"/>
      </w:r>
      <w:r>
        <w:rPr>
          <w:rFonts w:ascii="Times New Roman" w:hAnsi="Times New Roman" w:eastAsia="楷体_GB2312"/>
          <w:sz w:val="30"/>
          <w:szCs w:val="30"/>
        </w:rPr>
        <w:t>第二节  做强做大全域旅游产业</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_Toc918 </w:instrText>
      </w:r>
      <w:r>
        <w:rPr>
          <w:rFonts w:ascii="Times New Roman" w:hAnsi="Times New Roman"/>
          <w:sz w:val="30"/>
          <w:szCs w:val="30"/>
        </w:rPr>
        <w:fldChar w:fldCharType="separate"/>
      </w:r>
      <w:r>
        <w:rPr>
          <w:rFonts w:ascii="Times New Roman" w:hAnsi="Times New Roman"/>
          <w:sz w:val="30"/>
          <w:szCs w:val="30"/>
        </w:rPr>
        <w:t>49</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"_Toc27915" </w:instrText>
      </w:r>
      <w:r>
        <w:fldChar w:fldCharType="separate"/>
      </w:r>
      <w:r>
        <w:rPr>
          <w:rFonts w:ascii="Times New Roman" w:hAnsi="Times New Roman" w:eastAsia="楷体_GB2312"/>
          <w:sz w:val="30"/>
          <w:szCs w:val="30"/>
        </w:rPr>
        <w:t>第三节  完善旅游服务体系</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_Toc27915 </w:instrText>
      </w:r>
      <w:r>
        <w:rPr>
          <w:rFonts w:ascii="Times New Roman" w:hAnsi="Times New Roman"/>
          <w:sz w:val="30"/>
          <w:szCs w:val="30"/>
        </w:rPr>
        <w:fldChar w:fldCharType="separate"/>
      </w:r>
      <w:r>
        <w:rPr>
          <w:rFonts w:ascii="Times New Roman" w:hAnsi="Times New Roman"/>
          <w:sz w:val="30"/>
          <w:szCs w:val="30"/>
        </w:rPr>
        <w:t>51</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"_Toc11599" </w:instrText>
      </w:r>
      <w:r>
        <w:fldChar w:fldCharType="separate"/>
      </w:r>
      <w:r>
        <w:rPr>
          <w:rFonts w:ascii="Times New Roman" w:hAnsi="Times New Roman"/>
          <w:bCs/>
          <w:sz w:val="30"/>
          <w:szCs w:val="30"/>
        </w:rPr>
        <w:t>专栏8  特色旅游品牌“IP”赛事打造工程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_Toc11599 </w:instrText>
      </w:r>
      <w:r>
        <w:rPr>
          <w:rFonts w:ascii="Times New Roman" w:hAnsi="Times New Roman"/>
          <w:sz w:val="30"/>
          <w:szCs w:val="30"/>
        </w:rPr>
        <w:fldChar w:fldCharType="separate"/>
      </w:r>
      <w:r>
        <w:rPr>
          <w:rFonts w:ascii="Times New Roman" w:hAnsi="Times New Roman"/>
          <w:sz w:val="30"/>
          <w:szCs w:val="30"/>
        </w:rPr>
        <w:t>53</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"_Toc11664" </w:instrText>
      </w:r>
      <w:r>
        <w:fldChar w:fldCharType="separate"/>
      </w:r>
      <w:r>
        <w:rPr>
          <w:rFonts w:ascii="Times New Roman" w:hAnsi="Times New Roman"/>
          <w:bCs/>
          <w:sz w:val="30"/>
          <w:szCs w:val="30"/>
        </w:rPr>
        <w:t>专栏9  全域旅游“六个一批”精品工程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_Toc11664 </w:instrText>
      </w:r>
      <w:r>
        <w:rPr>
          <w:rFonts w:ascii="Times New Roman" w:hAnsi="Times New Roman"/>
          <w:sz w:val="30"/>
          <w:szCs w:val="30"/>
        </w:rPr>
        <w:fldChar w:fldCharType="separate"/>
      </w:r>
      <w:r>
        <w:rPr>
          <w:rFonts w:ascii="Times New Roman" w:hAnsi="Times New Roman"/>
          <w:sz w:val="30"/>
          <w:szCs w:val="30"/>
        </w:rPr>
        <w:t>54</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"_Toc1237" </w:instrText>
      </w:r>
      <w:r>
        <w:fldChar w:fldCharType="separate"/>
      </w:r>
      <w:r>
        <w:rPr>
          <w:rFonts w:ascii="Times New Roman" w:hAnsi="Times New Roman" w:eastAsia="黑体"/>
          <w:bCs/>
          <w:sz w:val="30"/>
          <w:szCs w:val="30"/>
        </w:rPr>
        <w:t>第五章  坚持扩大内需战略  主动融入和服务构建新发展格局</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_Toc1237 </w:instrText>
      </w:r>
      <w:r>
        <w:rPr>
          <w:rFonts w:ascii="Times New Roman" w:hAnsi="Times New Roman"/>
          <w:sz w:val="30"/>
          <w:szCs w:val="30"/>
        </w:rPr>
        <w:fldChar w:fldCharType="separate"/>
      </w:r>
      <w:r>
        <w:rPr>
          <w:rFonts w:ascii="Times New Roman" w:hAnsi="Times New Roman"/>
          <w:sz w:val="30"/>
          <w:szCs w:val="30"/>
        </w:rPr>
        <w:t>55</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"_Toc25948" </w:instrText>
      </w:r>
      <w:r>
        <w:fldChar w:fldCharType="separate"/>
      </w:r>
      <w:r>
        <w:rPr>
          <w:rFonts w:ascii="Times New Roman" w:hAnsi="Times New Roman" w:eastAsia="楷体_GB2312"/>
          <w:sz w:val="30"/>
          <w:szCs w:val="30"/>
        </w:rPr>
        <w:t>第一节  优化完善产业循环体系</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_Toc25948 </w:instrText>
      </w:r>
      <w:r>
        <w:rPr>
          <w:rFonts w:ascii="Times New Roman" w:hAnsi="Times New Roman"/>
          <w:sz w:val="30"/>
          <w:szCs w:val="30"/>
        </w:rPr>
        <w:fldChar w:fldCharType="separate"/>
      </w:r>
      <w:r>
        <w:rPr>
          <w:rFonts w:ascii="Times New Roman" w:hAnsi="Times New Roman"/>
          <w:sz w:val="30"/>
          <w:szCs w:val="30"/>
        </w:rPr>
        <w:t>55</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"_Toc1399" </w:instrText>
      </w:r>
      <w:r>
        <w:fldChar w:fldCharType="separate"/>
      </w:r>
      <w:r>
        <w:rPr>
          <w:rFonts w:ascii="Times New Roman" w:hAnsi="Times New Roman" w:eastAsia="楷体_GB2312"/>
          <w:sz w:val="30"/>
          <w:szCs w:val="30"/>
        </w:rPr>
        <w:t>第二节  全面促进消费</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_Toc1399 </w:instrText>
      </w:r>
      <w:r>
        <w:rPr>
          <w:rFonts w:ascii="Times New Roman" w:hAnsi="Times New Roman"/>
          <w:sz w:val="30"/>
          <w:szCs w:val="30"/>
        </w:rPr>
        <w:fldChar w:fldCharType="separate"/>
      </w:r>
      <w:r>
        <w:rPr>
          <w:rFonts w:ascii="Times New Roman" w:hAnsi="Times New Roman"/>
          <w:sz w:val="30"/>
          <w:szCs w:val="30"/>
        </w:rPr>
        <w:t>56</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"_Toc16902" </w:instrText>
      </w:r>
      <w:r>
        <w:fldChar w:fldCharType="separate"/>
      </w:r>
      <w:r>
        <w:rPr>
          <w:rFonts w:ascii="Times New Roman" w:hAnsi="Times New Roman"/>
          <w:bCs/>
          <w:sz w:val="30"/>
          <w:szCs w:val="30"/>
        </w:rPr>
        <w:t>专栏10  新型消费培育提升工程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_Toc16902 </w:instrText>
      </w:r>
      <w:r>
        <w:rPr>
          <w:rFonts w:ascii="Times New Roman" w:hAnsi="Times New Roman"/>
          <w:sz w:val="30"/>
          <w:szCs w:val="30"/>
        </w:rPr>
        <w:fldChar w:fldCharType="separate"/>
      </w:r>
      <w:r>
        <w:rPr>
          <w:rFonts w:ascii="Times New Roman" w:hAnsi="Times New Roman"/>
          <w:sz w:val="30"/>
          <w:szCs w:val="30"/>
        </w:rPr>
        <w:t>58</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"_Toc20455" </w:instrText>
      </w:r>
      <w:r>
        <w:fldChar w:fldCharType="separate"/>
      </w:r>
      <w:r>
        <w:rPr>
          <w:rFonts w:ascii="Times New Roman" w:hAnsi="Times New Roman" w:eastAsia="楷体_GB2312"/>
          <w:sz w:val="30"/>
          <w:szCs w:val="30"/>
        </w:rPr>
        <w:t>第三节  积极扩大有效投资</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_Toc20455 </w:instrText>
      </w:r>
      <w:r>
        <w:rPr>
          <w:rFonts w:ascii="Times New Roman" w:hAnsi="Times New Roman"/>
          <w:sz w:val="30"/>
          <w:szCs w:val="30"/>
        </w:rPr>
        <w:fldChar w:fldCharType="separate"/>
      </w:r>
      <w:r>
        <w:rPr>
          <w:rFonts w:ascii="Times New Roman" w:hAnsi="Times New Roman"/>
          <w:sz w:val="30"/>
          <w:szCs w:val="30"/>
        </w:rPr>
        <w:t>58</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"_Toc19723" </w:instrText>
      </w:r>
      <w:r>
        <w:fldChar w:fldCharType="separate"/>
      </w:r>
      <w:r>
        <w:rPr>
          <w:rFonts w:ascii="Times New Roman" w:hAnsi="Times New Roman" w:eastAsia="黑体"/>
          <w:bCs/>
          <w:sz w:val="30"/>
          <w:szCs w:val="30"/>
        </w:rPr>
        <w:t>第六章  坚持优先发展农业农村  打造乡村振兴先行示范区</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_Toc19723 </w:instrText>
      </w:r>
      <w:r>
        <w:rPr>
          <w:rFonts w:ascii="Times New Roman" w:hAnsi="Times New Roman"/>
          <w:sz w:val="30"/>
          <w:szCs w:val="30"/>
        </w:rPr>
        <w:fldChar w:fldCharType="separate"/>
      </w:r>
      <w:r>
        <w:rPr>
          <w:rFonts w:ascii="Times New Roman" w:hAnsi="Times New Roman"/>
          <w:sz w:val="30"/>
          <w:szCs w:val="30"/>
        </w:rPr>
        <w:t>60</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"_Toc19704" </w:instrText>
      </w:r>
      <w:r>
        <w:fldChar w:fldCharType="separate"/>
      </w:r>
      <w:r>
        <w:rPr>
          <w:rFonts w:ascii="Times New Roman" w:hAnsi="Times New Roman" w:eastAsia="楷体_GB2312"/>
          <w:sz w:val="30"/>
          <w:szCs w:val="30"/>
        </w:rPr>
        <w:t>第一节  巩固拓展脱贫攻坚成果同乡村振兴衔接</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_Toc19704 </w:instrText>
      </w:r>
      <w:r>
        <w:rPr>
          <w:rFonts w:ascii="Times New Roman" w:hAnsi="Times New Roman"/>
          <w:sz w:val="30"/>
          <w:szCs w:val="30"/>
        </w:rPr>
        <w:fldChar w:fldCharType="separate"/>
      </w:r>
      <w:r>
        <w:rPr>
          <w:rFonts w:ascii="Times New Roman" w:hAnsi="Times New Roman"/>
          <w:sz w:val="30"/>
          <w:szCs w:val="30"/>
        </w:rPr>
        <w:t>60</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"_Toc25619" </w:instrText>
      </w:r>
      <w:r>
        <w:fldChar w:fldCharType="separate"/>
      </w:r>
      <w:r>
        <w:rPr>
          <w:rFonts w:ascii="Times New Roman" w:hAnsi="Times New Roman" w:eastAsia="楷体_GB2312"/>
          <w:sz w:val="30"/>
          <w:szCs w:val="30"/>
        </w:rPr>
        <w:t>第二节  推进农业产业提质</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_Toc25619 </w:instrText>
      </w:r>
      <w:r>
        <w:rPr>
          <w:rFonts w:ascii="Times New Roman" w:hAnsi="Times New Roman"/>
          <w:sz w:val="30"/>
          <w:szCs w:val="30"/>
        </w:rPr>
        <w:fldChar w:fldCharType="separate"/>
      </w:r>
      <w:r>
        <w:rPr>
          <w:rFonts w:ascii="Times New Roman" w:hAnsi="Times New Roman"/>
          <w:sz w:val="30"/>
          <w:szCs w:val="30"/>
        </w:rPr>
        <w:t>61</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"_Toc9039" </w:instrText>
      </w:r>
      <w:r>
        <w:fldChar w:fldCharType="separate"/>
      </w:r>
      <w:r>
        <w:rPr>
          <w:rFonts w:ascii="Times New Roman" w:hAnsi="Times New Roman" w:eastAsia="楷体_GB2312"/>
          <w:sz w:val="30"/>
          <w:szCs w:val="30"/>
        </w:rPr>
        <w:t>第三节  实施乡村建设行动</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_Toc9039 </w:instrText>
      </w:r>
      <w:r>
        <w:rPr>
          <w:rFonts w:ascii="Times New Roman" w:hAnsi="Times New Roman"/>
          <w:sz w:val="30"/>
          <w:szCs w:val="30"/>
        </w:rPr>
        <w:fldChar w:fldCharType="separate"/>
      </w:r>
      <w:r>
        <w:rPr>
          <w:rFonts w:ascii="Times New Roman" w:hAnsi="Times New Roman"/>
          <w:sz w:val="30"/>
          <w:szCs w:val="30"/>
        </w:rPr>
        <w:t>63</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"_Toc15458" </w:instrText>
      </w:r>
      <w:r>
        <w:fldChar w:fldCharType="separate"/>
      </w:r>
      <w:r>
        <w:rPr>
          <w:rFonts w:ascii="Times New Roman" w:hAnsi="Times New Roman" w:eastAsia="楷体_GB2312"/>
          <w:sz w:val="30"/>
          <w:szCs w:val="30"/>
        </w:rPr>
        <w:t>第四节  深化农村改革</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_Toc15458 </w:instrText>
      </w:r>
      <w:r>
        <w:rPr>
          <w:rFonts w:ascii="Times New Roman" w:hAnsi="Times New Roman"/>
          <w:sz w:val="30"/>
          <w:szCs w:val="30"/>
        </w:rPr>
        <w:fldChar w:fldCharType="separate"/>
      </w:r>
      <w:r>
        <w:rPr>
          <w:rFonts w:ascii="Times New Roman" w:hAnsi="Times New Roman"/>
          <w:sz w:val="30"/>
          <w:szCs w:val="30"/>
        </w:rPr>
        <w:t>65</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"_Toc32649" </w:instrText>
      </w:r>
      <w:r>
        <w:fldChar w:fldCharType="separate"/>
      </w:r>
      <w:r>
        <w:rPr>
          <w:rFonts w:ascii="Times New Roman" w:hAnsi="Times New Roman"/>
          <w:bCs/>
          <w:sz w:val="30"/>
          <w:szCs w:val="30"/>
        </w:rPr>
        <w:t>专栏11  乡村振兴六大行动工程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_Toc32649 </w:instrText>
      </w:r>
      <w:r>
        <w:rPr>
          <w:rFonts w:ascii="Times New Roman" w:hAnsi="Times New Roman"/>
          <w:sz w:val="30"/>
          <w:szCs w:val="30"/>
        </w:rPr>
        <w:fldChar w:fldCharType="separate"/>
      </w:r>
      <w:r>
        <w:rPr>
          <w:rFonts w:ascii="Times New Roman" w:hAnsi="Times New Roman"/>
          <w:sz w:val="30"/>
          <w:szCs w:val="30"/>
        </w:rPr>
        <w:t>67</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"_Toc4832" </w:instrText>
      </w:r>
      <w:r>
        <w:fldChar w:fldCharType="separate"/>
      </w:r>
      <w:r>
        <w:rPr>
          <w:rFonts w:ascii="Times New Roman" w:hAnsi="Times New Roman" w:eastAsia="黑体"/>
          <w:bCs/>
          <w:sz w:val="30"/>
          <w:szCs w:val="30"/>
        </w:rPr>
        <w:t>第七章  坚持系统空间支撑  统筹推进基础设施建设</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_Toc4832 </w:instrText>
      </w:r>
      <w:r>
        <w:rPr>
          <w:rFonts w:ascii="Times New Roman" w:hAnsi="Times New Roman"/>
          <w:sz w:val="30"/>
          <w:szCs w:val="30"/>
        </w:rPr>
        <w:fldChar w:fldCharType="separate"/>
      </w:r>
      <w:r>
        <w:rPr>
          <w:rFonts w:ascii="Times New Roman" w:hAnsi="Times New Roman"/>
          <w:sz w:val="30"/>
          <w:szCs w:val="30"/>
        </w:rPr>
        <w:t>68</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"_Toc27304" </w:instrText>
      </w:r>
      <w:r>
        <w:fldChar w:fldCharType="separate"/>
      </w:r>
      <w:r>
        <w:rPr>
          <w:rFonts w:ascii="Times New Roman" w:hAnsi="Times New Roman" w:eastAsia="楷体_GB2312"/>
          <w:sz w:val="30"/>
          <w:szCs w:val="30"/>
        </w:rPr>
        <w:t>第一节  推进综合交通规划建设</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_Toc27304 </w:instrText>
      </w:r>
      <w:r>
        <w:rPr>
          <w:rFonts w:ascii="Times New Roman" w:hAnsi="Times New Roman"/>
          <w:sz w:val="30"/>
          <w:szCs w:val="30"/>
        </w:rPr>
        <w:fldChar w:fldCharType="separate"/>
      </w:r>
      <w:r>
        <w:rPr>
          <w:rFonts w:ascii="Times New Roman" w:hAnsi="Times New Roman"/>
          <w:sz w:val="30"/>
          <w:szCs w:val="30"/>
        </w:rPr>
        <w:t>68</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"_Toc30046" </w:instrText>
      </w:r>
      <w:r>
        <w:fldChar w:fldCharType="separate"/>
      </w:r>
      <w:r>
        <w:rPr>
          <w:rFonts w:ascii="Times New Roman" w:hAnsi="Times New Roman" w:eastAsia="楷体_GB2312"/>
          <w:sz w:val="30"/>
          <w:szCs w:val="30"/>
        </w:rPr>
        <w:t>第二节  提高能源保障能力</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_Toc30046 </w:instrText>
      </w:r>
      <w:r>
        <w:rPr>
          <w:rFonts w:ascii="Times New Roman" w:hAnsi="Times New Roman"/>
          <w:sz w:val="30"/>
          <w:szCs w:val="30"/>
        </w:rPr>
        <w:fldChar w:fldCharType="separate"/>
      </w:r>
      <w:r>
        <w:rPr>
          <w:rFonts w:ascii="Times New Roman" w:hAnsi="Times New Roman"/>
          <w:sz w:val="30"/>
          <w:szCs w:val="30"/>
        </w:rPr>
        <w:t>69</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"_Toc2238" </w:instrText>
      </w:r>
      <w:r>
        <w:fldChar w:fldCharType="separate"/>
      </w:r>
      <w:r>
        <w:rPr>
          <w:rFonts w:ascii="Times New Roman" w:hAnsi="Times New Roman" w:eastAsia="楷体_GB2312"/>
          <w:sz w:val="30"/>
          <w:szCs w:val="30"/>
        </w:rPr>
        <w:t>第三节  加强水利基础设施建设</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_Toc2238 </w:instrText>
      </w:r>
      <w:r>
        <w:rPr>
          <w:rFonts w:ascii="Times New Roman" w:hAnsi="Times New Roman"/>
          <w:sz w:val="30"/>
          <w:szCs w:val="30"/>
        </w:rPr>
        <w:fldChar w:fldCharType="separate"/>
      </w:r>
      <w:r>
        <w:rPr>
          <w:rFonts w:ascii="Times New Roman" w:hAnsi="Times New Roman"/>
          <w:sz w:val="30"/>
          <w:szCs w:val="30"/>
        </w:rPr>
        <w:t>70</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"_Toc14083" </w:instrText>
      </w:r>
      <w:r>
        <w:fldChar w:fldCharType="separate"/>
      </w:r>
      <w:r>
        <w:rPr>
          <w:rFonts w:ascii="Times New Roman" w:hAnsi="Times New Roman" w:eastAsia="楷体_GB2312"/>
          <w:sz w:val="30"/>
          <w:szCs w:val="30"/>
        </w:rPr>
        <w:t>第四节  推进新型基础设施建设和运用</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_Toc14083 </w:instrText>
      </w:r>
      <w:r>
        <w:rPr>
          <w:rFonts w:ascii="Times New Roman" w:hAnsi="Times New Roman"/>
          <w:sz w:val="30"/>
          <w:szCs w:val="30"/>
        </w:rPr>
        <w:fldChar w:fldCharType="separate"/>
      </w:r>
      <w:r>
        <w:rPr>
          <w:rFonts w:ascii="Times New Roman" w:hAnsi="Times New Roman"/>
          <w:sz w:val="30"/>
          <w:szCs w:val="30"/>
        </w:rPr>
        <w:t>72</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"_Toc10809" </w:instrText>
      </w:r>
      <w:r>
        <w:fldChar w:fldCharType="separate"/>
      </w:r>
      <w:r>
        <w:rPr>
          <w:rFonts w:ascii="Times New Roman" w:hAnsi="Times New Roman"/>
          <w:bCs/>
          <w:sz w:val="30"/>
          <w:szCs w:val="30"/>
        </w:rPr>
        <w:t>专栏12  基础设施建设推进工程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_Toc10809 </w:instrText>
      </w:r>
      <w:r>
        <w:rPr>
          <w:rFonts w:ascii="Times New Roman" w:hAnsi="Times New Roman"/>
          <w:sz w:val="30"/>
          <w:szCs w:val="30"/>
        </w:rPr>
        <w:fldChar w:fldCharType="separate"/>
      </w:r>
      <w:r>
        <w:rPr>
          <w:rFonts w:ascii="Times New Roman" w:hAnsi="Times New Roman"/>
          <w:sz w:val="30"/>
          <w:szCs w:val="30"/>
        </w:rPr>
        <w:t>73</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"_Toc28923" </w:instrText>
      </w:r>
      <w:r>
        <w:fldChar w:fldCharType="separate"/>
      </w:r>
      <w:r>
        <w:rPr>
          <w:rFonts w:ascii="Times New Roman" w:hAnsi="Times New Roman" w:eastAsia="黑体"/>
          <w:bCs/>
          <w:sz w:val="30"/>
          <w:szCs w:val="30"/>
        </w:rPr>
        <w:t>第八章  坚持深化改革开放  不断增强高质量发展新动能</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_Toc28923 </w:instrText>
      </w:r>
      <w:r>
        <w:rPr>
          <w:rFonts w:ascii="Times New Roman" w:hAnsi="Times New Roman"/>
          <w:sz w:val="30"/>
          <w:szCs w:val="30"/>
        </w:rPr>
        <w:fldChar w:fldCharType="separate"/>
      </w:r>
      <w:r>
        <w:rPr>
          <w:rFonts w:ascii="Times New Roman" w:hAnsi="Times New Roman"/>
          <w:sz w:val="30"/>
          <w:szCs w:val="30"/>
        </w:rPr>
        <w:t>74</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"_Toc11319" </w:instrText>
      </w:r>
      <w:r>
        <w:fldChar w:fldCharType="separate"/>
      </w:r>
      <w:r>
        <w:rPr>
          <w:rFonts w:ascii="Times New Roman" w:hAnsi="Times New Roman" w:eastAsia="楷体_GB2312"/>
          <w:sz w:val="30"/>
          <w:szCs w:val="30"/>
        </w:rPr>
        <w:t>第一节  加快政府职能转变</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_Toc11319 </w:instrText>
      </w:r>
      <w:r>
        <w:rPr>
          <w:rFonts w:ascii="Times New Roman" w:hAnsi="Times New Roman"/>
          <w:sz w:val="30"/>
          <w:szCs w:val="30"/>
        </w:rPr>
        <w:fldChar w:fldCharType="separate"/>
      </w:r>
      <w:r>
        <w:rPr>
          <w:rFonts w:ascii="Times New Roman" w:hAnsi="Times New Roman"/>
          <w:sz w:val="30"/>
          <w:szCs w:val="30"/>
        </w:rPr>
        <w:t>74</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"_Toc14826" </w:instrText>
      </w:r>
      <w:r>
        <w:fldChar w:fldCharType="separate"/>
      </w:r>
      <w:r>
        <w:rPr>
          <w:rFonts w:ascii="Times New Roman" w:hAnsi="Times New Roman" w:eastAsia="楷体_GB2312"/>
          <w:sz w:val="30"/>
          <w:szCs w:val="30"/>
        </w:rPr>
        <w:t>第二节  激发各类市场主体活力</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_Toc14826 </w:instrText>
      </w:r>
      <w:r>
        <w:rPr>
          <w:rFonts w:ascii="Times New Roman" w:hAnsi="Times New Roman"/>
          <w:sz w:val="30"/>
          <w:szCs w:val="30"/>
        </w:rPr>
        <w:fldChar w:fldCharType="separate"/>
      </w:r>
      <w:r>
        <w:rPr>
          <w:rFonts w:ascii="Times New Roman" w:hAnsi="Times New Roman"/>
          <w:sz w:val="30"/>
          <w:szCs w:val="30"/>
        </w:rPr>
        <w:t>76</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"_Toc18634" </w:instrText>
      </w:r>
      <w:r>
        <w:fldChar w:fldCharType="separate"/>
      </w:r>
      <w:r>
        <w:rPr>
          <w:rFonts w:ascii="Times New Roman" w:hAnsi="Times New Roman" w:eastAsia="楷体_GB2312"/>
          <w:sz w:val="30"/>
          <w:szCs w:val="30"/>
        </w:rPr>
        <w:t>第三节  深化财税金融体制改革</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_Toc18634 </w:instrText>
      </w:r>
      <w:r>
        <w:rPr>
          <w:rFonts w:ascii="Times New Roman" w:hAnsi="Times New Roman"/>
          <w:sz w:val="30"/>
          <w:szCs w:val="30"/>
        </w:rPr>
        <w:fldChar w:fldCharType="separate"/>
      </w:r>
      <w:r>
        <w:rPr>
          <w:rFonts w:ascii="Times New Roman" w:hAnsi="Times New Roman"/>
          <w:sz w:val="30"/>
          <w:szCs w:val="30"/>
        </w:rPr>
        <w:t>78</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"_Toc20913" </w:instrText>
      </w:r>
      <w:r>
        <w:fldChar w:fldCharType="separate"/>
      </w:r>
      <w:r>
        <w:rPr>
          <w:rFonts w:ascii="Times New Roman" w:hAnsi="Times New Roman"/>
          <w:bCs/>
          <w:sz w:val="30"/>
          <w:szCs w:val="30"/>
        </w:rPr>
        <w:t>专栏13  重大改革创新提升工程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_Toc20913 </w:instrText>
      </w:r>
      <w:r>
        <w:rPr>
          <w:rFonts w:ascii="Times New Roman" w:hAnsi="Times New Roman"/>
          <w:sz w:val="30"/>
          <w:szCs w:val="30"/>
        </w:rPr>
        <w:fldChar w:fldCharType="separate"/>
      </w:r>
      <w:r>
        <w:rPr>
          <w:rFonts w:ascii="Times New Roman" w:hAnsi="Times New Roman"/>
          <w:sz w:val="30"/>
          <w:szCs w:val="30"/>
        </w:rPr>
        <w:t>79</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"_Toc15896" </w:instrText>
      </w:r>
      <w:r>
        <w:fldChar w:fldCharType="separate"/>
      </w:r>
      <w:r>
        <w:rPr>
          <w:rFonts w:ascii="Times New Roman" w:hAnsi="Times New Roman" w:eastAsia="黑体"/>
          <w:bCs/>
          <w:sz w:val="30"/>
          <w:szCs w:val="30"/>
        </w:rPr>
        <w:t>第九章  持续扩大对外开放  积极融入长三角一体发展</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_Toc15896 </w:instrText>
      </w:r>
      <w:r>
        <w:rPr>
          <w:rFonts w:ascii="Times New Roman" w:hAnsi="Times New Roman"/>
          <w:sz w:val="30"/>
          <w:szCs w:val="30"/>
        </w:rPr>
        <w:fldChar w:fldCharType="separate"/>
      </w:r>
      <w:r>
        <w:rPr>
          <w:rFonts w:ascii="Times New Roman" w:hAnsi="Times New Roman"/>
          <w:sz w:val="30"/>
          <w:szCs w:val="30"/>
        </w:rPr>
        <w:t>79</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"_Toc11389" </w:instrText>
      </w:r>
      <w:r>
        <w:fldChar w:fldCharType="separate"/>
      </w:r>
      <w:r>
        <w:rPr>
          <w:rFonts w:ascii="Times New Roman" w:hAnsi="Times New Roman" w:eastAsia="楷体_GB2312"/>
          <w:sz w:val="30"/>
          <w:szCs w:val="30"/>
        </w:rPr>
        <w:t>第一节  持续扩大对外开放</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_Toc11389 </w:instrText>
      </w:r>
      <w:r>
        <w:rPr>
          <w:rFonts w:ascii="Times New Roman" w:hAnsi="Times New Roman"/>
          <w:sz w:val="30"/>
          <w:szCs w:val="30"/>
        </w:rPr>
        <w:fldChar w:fldCharType="separate"/>
      </w:r>
      <w:r>
        <w:rPr>
          <w:rFonts w:ascii="Times New Roman" w:hAnsi="Times New Roman"/>
          <w:sz w:val="30"/>
          <w:szCs w:val="30"/>
        </w:rPr>
        <w:t>80</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"_Toc11190" </w:instrText>
      </w:r>
      <w:r>
        <w:fldChar w:fldCharType="separate"/>
      </w:r>
      <w:r>
        <w:rPr>
          <w:rFonts w:ascii="Times New Roman" w:hAnsi="Times New Roman" w:eastAsia="楷体_GB2312"/>
          <w:sz w:val="30"/>
          <w:szCs w:val="30"/>
        </w:rPr>
        <w:t>第二节  构建一体化合作格局</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_Toc11190 </w:instrText>
      </w:r>
      <w:r>
        <w:rPr>
          <w:rFonts w:ascii="Times New Roman" w:hAnsi="Times New Roman"/>
          <w:sz w:val="30"/>
          <w:szCs w:val="30"/>
        </w:rPr>
        <w:fldChar w:fldCharType="separate"/>
      </w:r>
      <w:r>
        <w:rPr>
          <w:rFonts w:ascii="Times New Roman" w:hAnsi="Times New Roman"/>
          <w:sz w:val="30"/>
          <w:szCs w:val="30"/>
        </w:rPr>
        <w:t>81</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"_Toc24383" </w:instrText>
      </w:r>
      <w:r>
        <w:fldChar w:fldCharType="separate"/>
      </w:r>
      <w:r>
        <w:rPr>
          <w:rFonts w:ascii="Times New Roman" w:hAnsi="Times New Roman" w:eastAsia="楷体_GB2312"/>
          <w:sz w:val="30"/>
          <w:szCs w:val="30"/>
        </w:rPr>
        <w:t>第三节  高质量深化领域合作</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_Toc24383 </w:instrText>
      </w:r>
      <w:r>
        <w:rPr>
          <w:rFonts w:ascii="Times New Roman" w:hAnsi="Times New Roman"/>
          <w:sz w:val="30"/>
          <w:szCs w:val="30"/>
        </w:rPr>
        <w:fldChar w:fldCharType="separate"/>
      </w:r>
      <w:r>
        <w:rPr>
          <w:rFonts w:ascii="Times New Roman" w:hAnsi="Times New Roman"/>
          <w:sz w:val="30"/>
          <w:szCs w:val="30"/>
        </w:rPr>
        <w:t>82</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"_Toc16312" </w:instrText>
      </w:r>
      <w:r>
        <w:fldChar w:fldCharType="separate"/>
      </w:r>
      <w:r>
        <w:rPr>
          <w:rFonts w:ascii="Times New Roman" w:hAnsi="Times New Roman"/>
          <w:bCs/>
          <w:sz w:val="30"/>
          <w:szCs w:val="30"/>
        </w:rPr>
        <w:t>专栏14  长三角一体化协同发展工程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_Toc16312 </w:instrText>
      </w:r>
      <w:r>
        <w:rPr>
          <w:rFonts w:ascii="Times New Roman" w:hAnsi="Times New Roman"/>
          <w:sz w:val="30"/>
          <w:szCs w:val="30"/>
        </w:rPr>
        <w:fldChar w:fldCharType="separate"/>
      </w:r>
      <w:r>
        <w:rPr>
          <w:rFonts w:ascii="Times New Roman" w:hAnsi="Times New Roman"/>
          <w:sz w:val="30"/>
          <w:szCs w:val="30"/>
        </w:rPr>
        <w:t>84</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"_Toc16639" </w:instrText>
      </w:r>
      <w:r>
        <w:fldChar w:fldCharType="separate"/>
      </w:r>
      <w:r>
        <w:rPr>
          <w:rFonts w:ascii="Times New Roman" w:hAnsi="Times New Roman" w:eastAsia="黑体"/>
          <w:bCs/>
          <w:sz w:val="30"/>
          <w:szCs w:val="30"/>
        </w:rPr>
        <w:t>第十章  坚持优化空间布局  推进区域协调发展和新型城镇化</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_Toc16639 </w:instrText>
      </w:r>
      <w:r>
        <w:rPr>
          <w:rFonts w:ascii="Times New Roman" w:hAnsi="Times New Roman"/>
          <w:sz w:val="30"/>
          <w:szCs w:val="30"/>
        </w:rPr>
        <w:fldChar w:fldCharType="separate"/>
      </w:r>
      <w:r>
        <w:rPr>
          <w:rFonts w:ascii="Times New Roman" w:hAnsi="Times New Roman"/>
          <w:sz w:val="30"/>
          <w:szCs w:val="30"/>
        </w:rPr>
        <w:t>85</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"_Toc22850" </w:instrText>
      </w:r>
      <w:r>
        <w:fldChar w:fldCharType="separate"/>
      </w:r>
      <w:r>
        <w:rPr>
          <w:rFonts w:ascii="Times New Roman" w:hAnsi="Times New Roman" w:eastAsia="楷体_GB2312"/>
          <w:sz w:val="30"/>
          <w:szCs w:val="30"/>
        </w:rPr>
        <w:t>第一节  加强国土空间保护开发</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_Toc22850 </w:instrText>
      </w:r>
      <w:r>
        <w:rPr>
          <w:rFonts w:ascii="Times New Roman" w:hAnsi="Times New Roman"/>
          <w:sz w:val="30"/>
          <w:szCs w:val="30"/>
        </w:rPr>
        <w:fldChar w:fldCharType="separate"/>
      </w:r>
      <w:r>
        <w:rPr>
          <w:rFonts w:ascii="Times New Roman" w:hAnsi="Times New Roman"/>
          <w:sz w:val="30"/>
          <w:szCs w:val="30"/>
        </w:rPr>
        <w:t>85</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"_Toc28583" </w:instrText>
      </w:r>
      <w:r>
        <w:fldChar w:fldCharType="separate"/>
      </w:r>
      <w:r>
        <w:rPr>
          <w:rFonts w:ascii="Times New Roman" w:hAnsi="Times New Roman" w:eastAsia="楷体_GB2312"/>
          <w:sz w:val="30"/>
          <w:szCs w:val="30"/>
        </w:rPr>
        <w:t>第二节  促进城乡协调发展</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_Toc28583 </w:instrText>
      </w:r>
      <w:r>
        <w:rPr>
          <w:rFonts w:ascii="Times New Roman" w:hAnsi="Times New Roman"/>
          <w:sz w:val="30"/>
          <w:szCs w:val="30"/>
        </w:rPr>
        <w:fldChar w:fldCharType="separate"/>
      </w:r>
      <w:r>
        <w:rPr>
          <w:rFonts w:ascii="Times New Roman" w:hAnsi="Times New Roman"/>
          <w:sz w:val="30"/>
          <w:szCs w:val="30"/>
        </w:rPr>
        <w:t>86</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"_Toc13470" </w:instrText>
      </w:r>
      <w:r>
        <w:fldChar w:fldCharType="separate"/>
      </w:r>
      <w:r>
        <w:rPr>
          <w:rFonts w:ascii="Times New Roman" w:hAnsi="Times New Roman" w:eastAsia="楷体_GB2312"/>
          <w:sz w:val="30"/>
          <w:szCs w:val="30"/>
        </w:rPr>
        <w:t>第三节  推进以人为核心的新型城镇化</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_Toc13470 </w:instrText>
      </w:r>
      <w:r>
        <w:rPr>
          <w:rFonts w:ascii="Times New Roman" w:hAnsi="Times New Roman"/>
          <w:sz w:val="30"/>
          <w:szCs w:val="30"/>
        </w:rPr>
        <w:fldChar w:fldCharType="separate"/>
      </w:r>
      <w:r>
        <w:rPr>
          <w:rFonts w:ascii="Times New Roman" w:hAnsi="Times New Roman"/>
          <w:sz w:val="30"/>
          <w:szCs w:val="30"/>
        </w:rPr>
        <w:t>88</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"_Toc7221" </w:instrText>
      </w:r>
      <w:r>
        <w:fldChar w:fldCharType="separate"/>
      </w:r>
      <w:r>
        <w:rPr>
          <w:rFonts w:ascii="Times New Roman" w:hAnsi="Times New Roman"/>
          <w:bCs/>
          <w:sz w:val="30"/>
          <w:szCs w:val="30"/>
        </w:rPr>
        <w:t>专栏15  区域协调发展和新型城镇化建设工程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_Toc7221 </w:instrText>
      </w:r>
      <w:r>
        <w:rPr>
          <w:rFonts w:ascii="Times New Roman" w:hAnsi="Times New Roman"/>
          <w:sz w:val="30"/>
          <w:szCs w:val="30"/>
        </w:rPr>
        <w:fldChar w:fldCharType="separate"/>
      </w:r>
      <w:r>
        <w:rPr>
          <w:rFonts w:ascii="Times New Roman" w:hAnsi="Times New Roman"/>
          <w:sz w:val="30"/>
          <w:szCs w:val="30"/>
        </w:rPr>
        <w:t>90</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"_Toc5421" </w:instrText>
      </w:r>
      <w:r>
        <w:fldChar w:fldCharType="separate"/>
      </w:r>
      <w:r>
        <w:rPr>
          <w:rFonts w:ascii="Times New Roman" w:hAnsi="Times New Roman" w:eastAsia="黑体"/>
          <w:bCs/>
          <w:sz w:val="30"/>
          <w:szCs w:val="30"/>
        </w:rPr>
        <w:t>第十一章  坚持绿色发展理念  建设人与自然和谐共生美好家园</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_Toc5421 </w:instrText>
      </w:r>
      <w:r>
        <w:rPr>
          <w:rFonts w:ascii="Times New Roman" w:hAnsi="Times New Roman"/>
          <w:sz w:val="30"/>
          <w:szCs w:val="30"/>
        </w:rPr>
        <w:fldChar w:fldCharType="separate"/>
      </w:r>
      <w:r>
        <w:rPr>
          <w:rFonts w:ascii="Times New Roman" w:hAnsi="Times New Roman"/>
          <w:sz w:val="30"/>
          <w:szCs w:val="30"/>
        </w:rPr>
        <w:t>91</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"_Toc24954" </w:instrText>
      </w:r>
      <w:r>
        <w:fldChar w:fldCharType="separate"/>
      </w:r>
      <w:r>
        <w:rPr>
          <w:rFonts w:ascii="Times New Roman" w:hAnsi="Times New Roman" w:eastAsia="楷体_GB2312"/>
          <w:sz w:val="30"/>
          <w:szCs w:val="30"/>
        </w:rPr>
        <w:t>第一节  共推新安江—千岛湖生态补偿试验区建设</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_Toc24954 </w:instrText>
      </w:r>
      <w:r>
        <w:rPr>
          <w:rFonts w:ascii="Times New Roman" w:hAnsi="Times New Roman"/>
          <w:sz w:val="30"/>
          <w:szCs w:val="30"/>
        </w:rPr>
        <w:fldChar w:fldCharType="separate"/>
      </w:r>
      <w:r>
        <w:rPr>
          <w:rFonts w:ascii="Times New Roman" w:hAnsi="Times New Roman"/>
          <w:sz w:val="30"/>
          <w:szCs w:val="30"/>
        </w:rPr>
        <w:t>91</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"_Toc17321" </w:instrText>
      </w:r>
      <w:r>
        <w:fldChar w:fldCharType="separate"/>
      </w:r>
      <w:r>
        <w:rPr>
          <w:rFonts w:ascii="Times New Roman" w:hAnsi="Times New Roman"/>
          <w:bCs/>
          <w:sz w:val="30"/>
          <w:szCs w:val="30"/>
        </w:rPr>
        <w:t>专栏16  新安江流域生态补偿机制建设十大工程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_Toc17321 </w:instrText>
      </w:r>
      <w:r>
        <w:rPr>
          <w:rFonts w:ascii="Times New Roman" w:hAnsi="Times New Roman"/>
          <w:sz w:val="30"/>
          <w:szCs w:val="30"/>
        </w:rPr>
        <w:fldChar w:fldCharType="separate"/>
      </w:r>
      <w:r>
        <w:rPr>
          <w:rFonts w:ascii="Times New Roman" w:hAnsi="Times New Roman"/>
          <w:sz w:val="30"/>
          <w:szCs w:val="30"/>
        </w:rPr>
        <w:t>94</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"_Toc16843" </w:instrText>
      </w:r>
      <w:r>
        <w:fldChar w:fldCharType="separate"/>
      </w:r>
      <w:r>
        <w:rPr>
          <w:rFonts w:ascii="Times New Roman" w:hAnsi="Times New Roman" w:eastAsia="楷体_GB2312"/>
          <w:sz w:val="30"/>
          <w:szCs w:val="30"/>
        </w:rPr>
        <w:t>第二节  持续改善生态环境质量</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_Toc16843 </w:instrText>
      </w:r>
      <w:r>
        <w:rPr>
          <w:rFonts w:ascii="Times New Roman" w:hAnsi="Times New Roman"/>
          <w:sz w:val="30"/>
          <w:szCs w:val="30"/>
        </w:rPr>
        <w:fldChar w:fldCharType="separate"/>
      </w:r>
      <w:r>
        <w:rPr>
          <w:rFonts w:ascii="Times New Roman" w:hAnsi="Times New Roman"/>
          <w:sz w:val="30"/>
          <w:szCs w:val="30"/>
        </w:rPr>
        <w:t>95</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"_Toc11144" </w:instrText>
      </w:r>
      <w:r>
        <w:fldChar w:fldCharType="separate"/>
      </w:r>
      <w:r>
        <w:rPr>
          <w:rFonts w:ascii="Times New Roman" w:hAnsi="Times New Roman" w:eastAsia="楷体_GB2312"/>
          <w:sz w:val="30"/>
          <w:szCs w:val="30"/>
        </w:rPr>
        <w:t>第三节  全面提高资源利用效率</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_Toc11144 </w:instrText>
      </w:r>
      <w:r>
        <w:rPr>
          <w:rFonts w:ascii="Times New Roman" w:hAnsi="Times New Roman"/>
          <w:sz w:val="30"/>
          <w:szCs w:val="30"/>
        </w:rPr>
        <w:fldChar w:fldCharType="separate"/>
      </w:r>
      <w:r>
        <w:rPr>
          <w:rFonts w:ascii="Times New Roman" w:hAnsi="Times New Roman"/>
          <w:sz w:val="30"/>
          <w:szCs w:val="30"/>
        </w:rPr>
        <w:t>97</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"_Toc2901" </w:instrText>
      </w:r>
      <w:r>
        <w:fldChar w:fldCharType="separate"/>
      </w:r>
      <w:r>
        <w:rPr>
          <w:rFonts w:ascii="Times New Roman" w:hAnsi="Times New Roman"/>
          <w:bCs/>
          <w:sz w:val="30"/>
          <w:szCs w:val="30"/>
        </w:rPr>
        <w:t>专栏17  生态文明创建提升工程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_Toc2901 </w:instrText>
      </w:r>
      <w:r>
        <w:rPr>
          <w:rFonts w:ascii="Times New Roman" w:hAnsi="Times New Roman"/>
          <w:sz w:val="30"/>
          <w:szCs w:val="30"/>
        </w:rPr>
        <w:fldChar w:fldCharType="separate"/>
      </w:r>
      <w:r>
        <w:rPr>
          <w:rFonts w:ascii="Times New Roman" w:hAnsi="Times New Roman"/>
          <w:sz w:val="30"/>
          <w:szCs w:val="30"/>
        </w:rPr>
        <w:t>99</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"_Toc30862" </w:instrText>
      </w:r>
      <w:r>
        <w:fldChar w:fldCharType="separate"/>
      </w:r>
      <w:r>
        <w:rPr>
          <w:rFonts w:ascii="Times New Roman" w:hAnsi="Times New Roman" w:eastAsia="黑体"/>
          <w:bCs/>
          <w:sz w:val="30"/>
          <w:szCs w:val="30"/>
        </w:rPr>
        <w:t>第十二章  坚持繁荣发展文化事业和文化产业  持续提升全区文化软实力</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_Toc30862 </w:instrText>
      </w:r>
      <w:r>
        <w:rPr>
          <w:rFonts w:ascii="Times New Roman" w:hAnsi="Times New Roman"/>
          <w:sz w:val="30"/>
          <w:szCs w:val="30"/>
        </w:rPr>
        <w:fldChar w:fldCharType="separate"/>
      </w:r>
      <w:r>
        <w:rPr>
          <w:rFonts w:ascii="Times New Roman" w:hAnsi="Times New Roman"/>
          <w:sz w:val="30"/>
          <w:szCs w:val="30"/>
        </w:rPr>
        <w:t>99</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"_Toc8179" </w:instrText>
      </w:r>
      <w:r>
        <w:fldChar w:fldCharType="separate"/>
      </w:r>
      <w:r>
        <w:rPr>
          <w:rFonts w:ascii="Times New Roman" w:hAnsi="Times New Roman" w:eastAsia="楷体_GB2312"/>
          <w:sz w:val="30"/>
          <w:szCs w:val="30"/>
        </w:rPr>
        <w:t>第一节  提高社会文明程度</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_Toc8179 </w:instrText>
      </w:r>
      <w:r>
        <w:rPr>
          <w:rFonts w:ascii="Times New Roman" w:hAnsi="Times New Roman"/>
          <w:sz w:val="30"/>
          <w:szCs w:val="30"/>
        </w:rPr>
        <w:fldChar w:fldCharType="separate"/>
      </w:r>
      <w:r>
        <w:rPr>
          <w:rFonts w:ascii="Times New Roman" w:hAnsi="Times New Roman"/>
          <w:sz w:val="30"/>
          <w:szCs w:val="30"/>
        </w:rPr>
        <w:t>100</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"_Toc24008" </w:instrText>
      </w:r>
      <w:r>
        <w:fldChar w:fldCharType="separate"/>
      </w:r>
      <w:r>
        <w:rPr>
          <w:rFonts w:ascii="Times New Roman" w:hAnsi="Times New Roman" w:eastAsia="楷体_GB2312"/>
          <w:sz w:val="30"/>
          <w:szCs w:val="30"/>
        </w:rPr>
        <w:t>第二节  提升公共文化服务水平</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_Toc24008 </w:instrText>
      </w:r>
      <w:r>
        <w:rPr>
          <w:rFonts w:ascii="Times New Roman" w:hAnsi="Times New Roman"/>
          <w:sz w:val="30"/>
          <w:szCs w:val="30"/>
        </w:rPr>
        <w:fldChar w:fldCharType="separate"/>
      </w:r>
      <w:r>
        <w:rPr>
          <w:rFonts w:ascii="Times New Roman" w:hAnsi="Times New Roman"/>
          <w:sz w:val="30"/>
          <w:szCs w:val="30"/>
        </w:rPr>
        <w:t>101</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"_Toc17580" </w:instrText>
      </w:r>
      <w:r>
        <w:fldChar w:fldCharType="separate"/>
      </w:r>
      <w:r>
        <w:rPr>
          <w:rFonts w:ascii="Times New Roman" w:hAnsi="Times New Roman" w:eastAsia="楷体_GB2312"/>
          <w:sz w:val="30"/>
          <w:szCs w:val="30"/>
        </w:rPr>
        <w:t>第三节  健全现代文化产业体系</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_Toc17580 </w:instrText>
      </w:r>
      <w:r>
        <w:rPr>
          <w:rFonts w:ascii="Times New Roman" w:hAnsi="Times New Roman"/>
          <w:sz w:val="30"/>
          <w:szCs w:val="30"/>
        </w:rPr>
        <w:fldChar w:fldCharType="separate"/>
      </w:r>
      <w:r>
        <w:rPr>
          <w:rFonts w:ascii="Times New Roman" w:hAnsi="Times New Roman"/>
          <w:sz w:val="30"/>
          <w:szCs w:val="30"/>
        </w:rPr>
        <w:t>102</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"_Toc14728" </w:instrText>
      </w:r>
      <w:r>
        <w:fldChar w:fldCharType="separate"/>
      </w:r>
      <w:r>
        <w:rPr>
          <w:rFonts w:ascii="Times New Roman" w:hAnsi="Times New Roman"/>
          <w:bCs/>
          <w:sz w:val="30"/>
          <w:szCs w:val="30"/>
        </w:rPr>
        <w:t>专栏18  徽文化传承和应用提升工程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_Toc14728 </w:instrText>
      </w:r>
      <w:r>
        <w:rPr>
          <w:rFonts w:ascii="Times New Roman" w:hAnsi="Times New Roman"/>
          <w:sz w:val="30"/>
          <w:szCs w:val="30"/>
        </w:rPr>
        <w:fldChar w:fldCharType="separate"/>
      </w:r>
      <w:r>
        <w:rPr>
          <w:rFonts w:ascii="Times New Roman" w:hAnsi="Times New Roman"/>
          <w:sz w:val="30"/>
          <w:szCs w:val="30"/>
        </w:rPr>
        <w:t>103</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"_Toc32335" </w:instrText>
      </w:r>
      <w:r>
        <w:fldChar w:fldCharType="separate"/>
      </w:r>
      <w:r>
        <w:rPr>
          <w:rFonts w:ascii="Times New Roman" w:hAnsi="Times New Roman" w:eastAsia="黑体"/>
          <w:bCs/>
          <w:sz w:val="30"/>
          <w:szCs w:val="30"/>
        </w:rPr>
        <w:t>第十三章  坚持改善人民生活品质  促进人的全面发展和社会全面进步</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_Toc32335 </w:instrText>
      </w:r>
      <w:r>
        <w:rPr>
          <w:rFonts w:ascii="Times New Roman" w:hAnsi="Times New Roman"/>
          <w:sz w:val="30"/>
          <w:szCs w:val="30"/>
        </w:rPr>
        <w:fldChar w:fldCharType="separate"/>
      </w:r>
      <w:r>
        <w:rPr>
          <w:rFonts w:ascii="Times New Roman" w:hAnsi="Times New Roman"/>
          <w:sz w:val="30"/>
          <w:szCs w:val="30"/>
        </w:rPr>
        <w:t>104</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"_Toc9754" </w:instrText>
      </w:r>
      <w:r>
        <w:fldChar w:fldCharType="separate"/>
      </w:r>
      <w:r>
        <w:rPr>
          <w:rFonts w:ascii="Times New Roman" w:hAnsi="Times New Roman" w:eastAsia="楷体_GB2312"/>
          <w:sz w:val="30"/>
          <w:szCs w:val="30"/>
        </w:rPr>
        <w:t>第一节  提高人民收入水平</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_Toc9754 </w:instrText>
      </w:r>
      <w:r>
        <w:rPr>
          <w:rFonts w:ascii="Times New Roman" w:hAnsi="Times New Roman"/>
          <w:sz w:val="30"/>
          <w:szCs w:val="30"/>
        </w:rPr>
        <w:fldChar w:fldCharType="separate"/>
      </w:r>
      <w:r>
        <w:rPr>
          <w:rFonts w:ascii="Times New Roman" w:hAnsi="Times New Roman"/>
          <w:sz w:val="30"/>
          <w:szCs w:val="30"/>
        </w:rPr>
        <w:t>104</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"_Toc27590" </w:instrText>
      </w:r>
      <w:r>
        <w:fldChar w:fldCharType="separate"/>
      </w:r>
      <w:r>
        <w:rPr>
          <w:rFonts w:ascii="Times New Roman" w:hAnsi="Times New Roman" w:eastAsia="楷体_GB2312"/>
          <w:sz w:val="30"/>
          <w:szCs w:val="30"/>
        </w:rPr>
        <w:t>第二节  强化就业优先政策</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_Toc27590 </w:instrText>
      </w:r>
      <w:r>
        <w:rPr>
          <w:rFonts w:ascii="Times New Roman" w:hAnsi="Times New Roman"/>
          <w:sz w:val="30"/>
          <w:szCs w:val="30"/>
        </w:rPr>
        <w:fldChar w:fldCharType="separate"/>
      </w:r>
      <w:r>
        <w:rPr>
          <w:rFonts w:ascii="Times New Roman" w:hAnsi="Times New Roman"/>
          <w:sz w:val="30"/>
          <w:szCs w:val="30"/>
        </w:rPr>
        <w:t>105</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"_Toc17738" </w:instrText>
      </w:r>
      <w:r>
        <w:fldChar w:fldCharType="separate"/>
      </w:r>
      <w:r>
        <w:rPr>
          <w:rFonts w:ascii="Times New Roman" w:hAnsi="Times New Roman" w:eastAsia="楷体_GB2312"/>
          <w:sz w:val="30"/>
          <w:szCs w:val="30"/>
        </w:rPr>
        <w:t>第三节  提高教育教学质量</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_Toc17738 </w:instrText>
      </w:r>
      <w:r>
        <w:rPr>
          <w:rFonts w:ascii="Times New Roman" w:hAnsi="Times New Roman"/>
          <w:sz w:val="30"/>
          <w:szCs w:val="30"/>
        </w:rPr>
        <w:fldChar w:fldCharType="separate"/>
      </w:r>
      <w:r>
        <w:rPr>
          <w:rFonts w:ascii="Times New Roman" w:hAnsi="Times New Roman"/>
          <w:sz w:val="30"/>
          <w:szCs w:val="30"/>
        </w:rPr>
        <w:t>106</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"_Toc21521" </w:instrText>
      </w:r>
      <w:r>
        <w:fldChar w:fldCharType="separate"/>
      </w:r>
      <w:r>
        <w:rPr>
          <w:rFonts w:ascii="Times New Roman" w:hAnsi="Times New Roman" w:eastAsia="楷体_GB2312"/>
          <w:sz w:val="30"/>
          <w:szCs w:val="30"/>
        </w:rPr>
        <w:t>第四节  健全多层次社会保障体系</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_Toc21521 </w:instrText>
      </w:r>
      <w:r>
        <w:rPr>
          <w:rFonts w:ascii="Times New Roman" w:hAnsi="Times New Roman"/>
          <w:sz w:val="30"/>
          <w:szCs w:val="30"/>
        </w:rPr>
        <w:fldChar w:fldCharType="separate"/>
      </w:r>
      <w:r>
        <w:rPr>
          <w:rFonts w:ascii="Times New Roman" w:hAnsi="Times New Roman"/>
          <w:sz w:val="30"/>
          <w:szCs w:val="30"/>
        </w:rPr>
        <w:t>108</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"_Toc17654" </w:instrText>
      </w:r>
      <w:r>
        <w:fldChar w:fldCharType="separate"/>
      </w:r>
      <w:r>
        <w:rPr>
          <w:rFonts w:ascii="Times New Roman" w:hAnsi="Times New Roman" w:eastAsia="楷体_GB2312"/>
          <w:sz w:val="30"/>
          <w:szCs w:val="30"/>
        </w:rPr>
        <w:t>第五节  全面推进健康徽州建设</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_Toc17654 </w:instrText>
      </w:r>
      <w:r>
        <w:rPr>
          <w:rFonts w:ascii="Times New Roman" w:hAnsi="Times New Roman"/>
          <w:sz w:val="30"/>
          <w:szCs w:val="30"/>
        </w:rPr>
        <w:fldChar w:fldCharType="separate"/>
      </w:r>
      <w:r>
        <w:rPr>
          <w:rFonts w:ascii="Times New Roman" w:hAnsi="Times New Roman"/>
          <w:sz w:val="30"/>
          <w:szCs w:val="30"/>
        </w:rPr>
        <w:t>109</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"_Toc3337" </w:instrText>
      </w:r>
      <w:r>
        <w:fldChar w:fldCharType="separate"/>
      </w:r>
      <w:r>
        <w:rPr>
          <w:rFonts w:ascii="Times New Roman" w:hAnsi="Times New Roman" w:eastAsia="楷体_GB2312"/>
          <w:sz w:val="30"/>
          <w:szCs w:val="30"/>
        </w:rPr>
        <w:t>第六节  积极应对人口老龄化</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_Toc3337 </w:instrText>
      </w:r>
      <w:r>
        <w:rPr>
          <w:rFonts w:ascii="Times New Roman" w:hAnsi="Times New Roman"/>
          <w:sz w:val="30"/>
          <w:szCs w:val="30"/>
        </w:rPr>
        <w:fldChar w:fldCharType="separate"/>
      </w:r>
      <w:r>
        <w:rPr>
          <w:rFonts w:ascii="Times New Roman" w:hAnsi="Times New Roman"/>
          <w:sz w:val="30"/>
          <w:szCs w:val="30"/>
        </w:rPr>
        <w:t>111</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"_Toc19769" </w:instrText>
      </w:r>
      <w:r>
        <w:fldChar w:fldCharType="separate"/>
      </w:r>
      <w:r>
        <w:rPr>
          <w:rFonts w:ascii="Times New Roman" w:hAnsi="Times New Roman" w:eastAsia="楷体_GB2312"/>
          <w:sz w:val="30"/>
          <w:szCs w:val="30"/>
        </w:rPr>
        <w:t>第七节  加强和创新社会治理</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_Toc19769 </w:instrText>
      </w:r>
      <w:r>
        <w:rPr>
          <w:rFonts w:ascii="Times New Roman" w:hAnsi="Times New Roman"/>
          <w:sz w:val="30"/>
          <w:szCs w:val="30"/>
        </w:rPr>
        <w:fldChar w:fldCharType="separate"/>
      </w:r>
      <w:r>
        <w:rPr>
          <w:rFonts w:ascii="Times New Roman" w:hAnsi="Times New Roman"/>
          <w:sz w:val="30"/>
          <w:szCs w:val="30"/>
        </w:rPr>
        <w:t>112</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"_Toc18785" </w:instrText>
      </w:r>
      <w:r>
        <w:fldChar w:fldCharType="separate"/>
      </w:r>
      <w:r>
        <w:rPr>
          <w:rFonts w:ascii="Times New Roman" w:hAnsi="Times New Roman"/>
          <w:bCs/>
          <w:sz w:val="30"/>
          <w:szCs w:val="30"/>
        </w:rPr>
        <w:t>专栏19  民生公共服务能力提升工程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_Toc18785 </w:instrText>
      </w:r>
      <w:r>
        <w:rPr>
          <w:rFonts w:ascii="Times New Roman" w:hAnsi="Times New Roman"/>
          <w:sz w:val="30"/>
          <w:szCs w:val="30"/>
        </w:rPr>
        <w:fldChar w:fldCharType="separate"/>
      </w:r>
      <w:r>
        <w:rPr>
          <w:rFonts w:ascii="Times New Roman" w:hAnsi="Times New Roman"/>
          <w:sz w:val="30"/>
          <w:szCs w:val="30"/>
        </w:rPr>
        <w:t>114</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"_Toc19703" </w:instrText>
      </w:r>
      <w:r>
        <w:fldChar w:fldCharType="separate"/>
      </w:r>
      <w:r>
        <w:rPr>
          <w:rFonts w:ascii="Times New Roman" w:hAnsi="Times New Roman" w:eastAsia="黑体"/>
          <w:bCs/>
          <w:sz w:val="30"/>
          <w:szCs w:val="30"/>
        </w:rPr>
        <w:t>第十四章  坚持统筹发展和安全  建设更高水平的平安徽州</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_Toc19703 </w:instrText>
      </w:r>
      <w:r>
        <w:rPr>
          <w:rFonts w:ascii="Times New Roman" w:hAnsi="Times New Roman"/>
          <w:sz w:val="30"/>
          <w:szCs w:val="30"/>
        </w:rPr>
        <w:fldChar w:fldCharType="separate"/>
      </w:r>
      <w:r>
        <w:rPr>
          <w:rFonts w:ascii="Times New Roman" w:hAnsi="Times New Roman"/>
          <w:sz w:val="30"/>
          <w:szCs w:val="30"/>
        </w:rPr>
        <w:t>115</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"_Toc3960" </w:instrText>
      </w:r>
      <w:r>
        <w:fldChar w:fldCharType="separate"/>
      </w:r>
      <w:r>
        <w:rPr>
          <w:rFonts w:ascii="Times New Roman" w:hAnsi="Times New Roman" w:eastAsia="楷体_GB2312"/>
          <w:sz w:val="30"/>
          <w:szCs w:val="30"/>
        </w:rPr>
        <w:t>第一节  加强国家安全体系和能力建设</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_Toc3960 </w:instrText>
      </w:r>
      <w:r>
        <w:rPr>
          <w:rFonts w:ascii="Times New Roman" w:hAnsi="Times New Roman"/>
          <w:sz w:val="30"/>
          <w:szCs w:val="30"/>
        </w:rPr>
        <w:fldChar w:fldCharType="separate"/>
      </w:r>
      <w:r>
        <w:rPr>
          <w:rFonts w:ascii="Times New Roman" w:hAnsi="Times New Roman"/>
          <w:sz w:val="30"/>
          <w:szCs w:val="30"/>
        </w:rPr>
        <w:t>115</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"_Toc32728" </w:instrText>
      </w:r>
      <w:r>
        <w:fldChar w:fldCharType="separate"/>
      </w:r>
      <w:r>
        <w:rPr>
          <w:rFonts w:ascii="Times New Roman" w:hAnsi="Times New Roman" w:eastAsia="楷体_GB2312"/>
          <w:sz w:val="30"/>
          <w:szCs w:val="30"/>
        </w:rPr>
        <w:t>第二节  确保经济运行安全</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_Toc32728 </w:instrText>
      </w:r>
      <w:r>
        <w:rPr>
          <w:rFonts w:ascii="Times New Roman" w:hAnsi="Times New Roman"/>
          <w:sz w:val="30"/>
          <w:szCs w:val="30"/>
        </w:rPr>
        <w:fldChar w:fldCharType="separate"/>
      </w:r>
      <w:r>
        <w:rPr>
          <w:rFonts w:ascii="Times New Roman" w:hAnsi="Times New Roman"/>
          <w:sz w:val="30"/>
          <w:szCs w:val="30"/>
        </w:rPr>
        <w:t>116</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"_Toc26623" </w:instrText>
      </w:r>
      <w:r>
        <w:fldChar w:fldCharType="separate"/>
      </w:r>
      <w:r>
        <w:rPr>
          <w:rFonts w:ascii="Times New Roman" w:hAnsi="Times New Roman" w:eastAsia="楷体_GB2312"/>
          <w:sz w:val="30"/>
          <w:szCs w:val="30"/>
        </w:rPr>
        <w:t>第三节  保障人民生命安全</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_Toc26623 </w:instrText>
      </w:r>
      <w:r>
        <w:rPr>
          <w:rFonts w:ascii="Times New Roman" w:hAnsi="Times New Roman"/>
          <w:sz w:val="30"/>
          <w:szCs w:val="30"/>
        </w:rPr>
        <w:fldChar w:fldCharType="separate"/>
      </w:r>
      <w:r>
        <w:rPr>
          <w:rFonts w:ascii="Times New Roman" w:hAnsi="Times New Roman"/>
          <w:sz w:val="30"/>
          <w:szCs w:val="30"/>
        </w:rPr>
        <w:t>117</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"_Toc8426" </w:instrText>
      </w:r>
      <w:r>
        <w:fldChar w:fldCharType="separate"/>
      </w:r>
      <w:r>
        <w:rPr>
          <w:rFonts w:ascii="Times New Roman" w:hAnsi="Times New Roman" w:eastAsia="黑体"/>
          <w:bCs/>
          <w:sz w:val="30"/>
          <w:szCs w:val="30"/>
        </w:rPr>
        <w:t>第十五章  坚持弘扬法治精神  一体化推进法治徽州、法治政府、法治社会建设</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_Toc8426 </w:instrText>
      </w:r>
      <w:r>
        <w:rPr>
          <w:rFonts w:ascii="Times New Roman" w:hAnsi="Times New Roman"/>
          <w:sz w:val="30"/>
          <w:szCs w:val="30"/>
        </w:rPr>
        <w:fldChar w:fldCharType="separate"/>
      </w:r>
      <w:r>
        <w:rPr>
          <w:rFonts w:ascii="Times New Roman" w:hAnsi="Times New Roman"/>
          <w:sz w:val="30"/>
          <w:szCs w:val="30"/>
        </w:rPr>
        <w:t>119</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"_Toc2682" </w:instrText>
      </w:r>
      <w:r>
        <w:fldChar w:fldCharType="separate"/>
      </w:r>
      <w:r>
        <w:rPr>
          <w:rFonts w:ascii="Times New Roman" w:hAnsi="Times New Roman" w:eastAsia="楷体_GB2312"/>
          <w:sz w:val="30"/>
          <w:szCs w:val="30"/>
        </w:rPr>
        <w:t>第一节  推进法治政府建设</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_Toc2682 </w:instrText>
      </w:r>
      <w:r>
        <w:rPr>
          <w:rFonts w:ascii="Times New Roman" w:hAnsi="Times New Roman"/>
          <w:sz w:val="30"/>
          <w:szCs w:val="30"/>
        </w:rPr>
        <w:fldChar w:fldCharType="separate"/>
      </w:r>
      <w:r>
        <w:rPr>
          <w:rFonts w:ascii="Times New Roman" w:hAnsi="Times New Roman"/>
          <w:sz w:val="30"/>
          <w:szCs w:val="30"/>
        </w:rPr>
        <w:t>119</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"_Toc6019" </w:instrText>
      </w:r>
      <w:r>
        <w:fldChar w:fldCharType="separate"/>
      </w:r>
      <w:r>
        <w:rPr>
          <w:rFonts w:ascii="Times New Roman" w:hAnsi="Times New Roman" w:eastAsia="楷体_GB2312"/>
          <w:sz w:val="30"/>
          <w:szCs w:val="30"/>
        </w:rPr>
        <w:t>第二节  推进司法公正高效权威</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_Toc6019 </w:instrText>
      </w:r>
      <w:r>
        <w:rPr>
          <w:rFonts w:ascii="Times New Roman" w:hAnsi="Times New Roman"/>
          <w:sz w:val="30"/>
          <w:szCs w:val="30"/>
        </w:rPr>
        <w:fldChar w:fldCharType="separate"/>
      </w:r>
      <w:r>
        <w:rPr>
          <w:rFonts w:ascii="Times New Roman" w:hAnsi="Times New Roman"/>
          <w:sz w:val="30"/>
          <w:szCs w:val="30"/>
        </w:rPr>
        <w:t>120</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"_Toc16169" </w:instrText>
      </w:r>
      <w:r>
        <w:fldChar w:fldCharType="separate"/>
      </w:r>
      <w:r>
        <w:rPr>
          <w:rFonts w:ascii="Times New Roman" w:hAnsi="Times New Roman" w:eastAsia="楷体_GB2312"/>
          <w:sz w:val="30"/>
          <w:szCs w:val="30"/>
        </w:rPr>
        <w:t>第三节  推进全民守法意识</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_Toc16169 </w:instrText>
      </w:r>
      <w:r>
        <w:rPr>
          <w:rFonts w:ascii="Times New Roman" w:hAnsi="Times New Roman"/>
          <w:sz w:val="30"/>
          <w:szCs w:val="30"/>
        </w:rPr>
        <w:fldChar w:fldCharType="separate"/>
      </w:r>
      <w:r>
        <w:rPr>
          <w:rFonts w:ascii="Times New Roman" w:hAnsi="Times New Roman"/>
          <w:sz w:val="30"/>
          <w:szCs w:val="30"/>
        </w:rPr>
        <w:t>120</w:t>
      </w:r>
      <w:r>
        <w:rPr>
          <w:rFonts w:ascii="Times New Roman" w:hAnsi="Times New Roman"/>
          <w:sz w:val="30"/>
          <w:szCs w:val="30"/>
        </w:rPr>
        <w:fldChar w:fldCharType="end"/>
      </w:r>
      <w:r>
        <w:rPr>
          <w:rFonts w:ascii="Times New Roman" w:hAnsi="Times New Roman"/>
          <w:sz w:val="30"/>
          <w:szCs w:val="30"/>
        </w:rPr>
        <w:fldChar w:fldCharType="end"/>
      </w:r>
    </w:p>
    <w:p>
      <w:pPr>
        <w:pStyle w:val="6"/>
        <w:tabs>
          <w:tab w:val="right" w:leader="dot" w:pos="9072"/>
        </w:tabs>
        <w:rPr>
          <w:rFonts w:ascii="Times New Roman" w:hAnsi="Times New Roman"/>
          <w:sz w:val="30"/>
          <w:szCs w:val="30"/>
        </w:rPr>
      </w:pPr>
      <w:r>
        <w:fldChar w:fldCharType="begin"/>
      </w:r>
      <w:r>
        <w:instrText xml:space="preserve"> HYPERLINK \l "_Toc6181" </w:instrText>
      </w:r>
      <w:r>
        <w:fldChar w:fldCharType="separate"/>
      </w:r>
      <w:r>
        <w:rPr>
          <w:rFonts w:ascii="Times New Roman" w:hAnsi="Times New Roman"/>
          <w:bCs/>
          <w:sz w:val="30"/>
          <w:szCs w:val="30"/>
        </w:rPr>
        <w:t>专栏20  法治示范创建提升工程</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_Toc6181 </w:instrText>
      </w:r>
      <w:r>
        <w:rPr>
          <w:rFonts w:ascii="Times New Roman" w:hAnsi="Times New Roman"/>
          <w:sz w:val="30"/>
          <w:szCs w:val="30"/>
        </w:rPr>
        <w:fldChar w:fldCharType="separate"/>
      </w:r>
      <w:r>
        <w:rPr>
          <w:rFonts w:ascii="Times New Roman" w:hAnsi="Times New Roman"/>
          <w:sz w:val="30"/>
          <w:szCs w:val="30"/>
        </w:rPr>
        <w:t>121</w:t>
      </w:r>
      <w:r>
        <w:rPr>
          <w:rFonts w:ascii="Times New Roman" w:hAnsi="Times New Roman"/>
          <w:sz w:val="30"/>
          <w:szCs w:val="30"/>
        </w:rPr>
        <w:fldChar w:fldCharType="end"/>
      </w:r>
      <w:r>
        <w:rPr>
          <w:rFonts w:ascii="Times New Roman" w:hAnsi="Times New Roman"/>
          <w:sz w:val="30"/>
          <w:szCs w:val="30"/>
        </w:rPr>
        <w:fldChar w:fldCharType="end"/>
      </w:r>
    </w:p>
    <w:p>
      <w:pPr>
        <w:pStyle w:val="9"/>
        <w:tabs>
          <w:tab w:val="right" w:leader="dot" w:pos="9072"/>
        </w:tabs>
        <w:rPr>
          <w:rFonts w:ascii="Times New Roman" w:hAnsi="Times New Roman"/>
          <w:sz w:val="30"/>
          <w:szCs w:val="30"/>
        </w:rPr>
      </w:pPr>
      <w:r>
        <w:fldChar w:fldCharType="begin"/>
      </w:r>
      <w:r>
        <w:instrText xml:space="preserve"> HYPERLINK \l "_Toc10461" </w:instrText>
      </w:r>
      <w:r>
        <w:fldChar w:fldCharType="separate"/>
      </w:r>
      <w:r>
        <w:rPr>
          <w:rFonts w:ascii="Times New Roman" w:hAnsi="Times New Roman" w:eastAsia="黑体"/>
          <w:bCs/>
          <w:sz w:val="30"/>
          <w:szCs w:val="30"/>
        </w:rPr>
        <w:t>第十六章  坚持党的全面领导  强化措施确保规划目标顺利实现</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_Toc10461 </w:instrText>
      </w:r>
      <w:r>
        <w:rPr>
          <w:rFonts w:ascii="Times New Roman" w:hAnsi="Times New Roman"/>
          <w:sz w:val="30"/>
          <w:szCs w:val="30"/>
        </w:rPr>
        <w:fldChar w:fldCharType="separate"/>
      </w:r>
      <w:r>
        <w:rPr>
          <w:rFonts w:ascii="Times New Roman" w:hAnsi="Times New Roman"/>
          <w:sz w:val="30"/>
          <w:szCs w:val="30"/>
        </w:rPr>
        <w:t>121</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"_Toc16737" </w:instrText>
      </w:r>
      <w:r>
        <w:fldChar w:fldCharType="separate"/>
      </w:r>
      <w:r>
        <w:rPr>
          <w:rFonts w:ascii="Times New Roman" w:hAnsi="Times New Roman" w:eastAsia="楷体_GB2312"/>
          <w:sz w:val="30"/>
          <w:szCs w:val="30"/>
        </w:rPr>
        <w:t>第一节  坚持和加强党的全面领导</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_Toc16737 </w:instrText>
      </w:r>
      <w:r>
        <w:rPr>
          <w:rFonts w:ascii="Times New Roman" w:hAnsi="Times New Roman"/>
          <w:sz w:val="30"/>
          <w:szCs w:val="30"/>
        </w:rPr>
        <w:fldChar w:fldCharType="separate"/>
      </w:r>
      <w:r>
        <w:rPr>
          <w:rFonts w:ascii="Times New Roman" w:hAnsi="Times New Roman"/>
          <w:sz w:val="30"/>
          <w:szCs w:val="30"/>
        </w:rPr>
        <w:t>121</w:t>
      </w:r>
      <w:r>
        <w:rPr>
          <w:rFonts w:ascii="Times New Roman" w:hAnsi="Times New Roman"/>
          <w:sz w:val="30"/>
          <w:szCs w:val="30"/>
        </w:rPr>
        <w:fldChar w:fldCharType="end"/>
      </w:r>
      <w:r>
        <w:rPr>
          <w:rFonts w:ascii="Times New Roman" w:hAnsi="Times New Roman"/>
          <w:sz w:val="30"/>
          <w:szCs w:val="30"/>
        </w:rPr>
        <w:fldChar w:fldCharType="end"/>
      </w:r>
    </w:p>
    <w:p>
      <w:pPr>
        <w:pStyle w:val="10"/>
        <w:tabs>
          <w:tab w:val="right" w:leader="dot" w:pos="9072"/>
        </w:tabs>
        <w:rPr>
          <w:rFonts w:ascii="Times New Roman" w:hAnsi="Times New Roman"/>
          <w:sz w:val="30"/>
          <w:szCs w:val="30"/>
        </w:rPr>
      </w:pPr>
      <w:r>
        <w:fldChar w:fldCharType="begin"/>
      </w:r>
      <w:r>
        <w:instrText xml:space="preserve"> HYPERLINK \l "_Toc32447" </w:instrText>
      </w:r>
      <w:r>
        <w:fldChar w:fldCharType="separate"/>
      </w:r>
      <w:r>
        <w:rPr>
          <w:rFonts w:ascii="Times New Roman" w:hAnsi="Times New Roman" w:eastAsia="楷体_GB2312"/>
          <w:sz w:val="30"/>
          <w:szCs w:val="30"/>
        </w:rPr>
        <w:t>第二节  完善规划的实施机制</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_Toc32447 </w:instrText>
      </w:r>
      <w:r>
        <w:rPr>
          <w:rFonts w:ascii="Times New Roman" w:hAnsi="Times New Roman"/>
          <w:sz w:val="30"/>
          <w:szCs w:val="30"/>
        </w:rPr>
        <w:fldChar w:fldCharType="separate"/>
      </w:r>
      <w:r>
        <w:rPr>
          <w:rFonts w:ascii="Times New Roman" w:hAnsi="Times New Roman"/>
          <w:sz w:val="30"/>
          <w:szCs w:val="30"/>
        </w:rPr>
        <w:t>122</w:t>
      </w:r>
      <w:r>
        <w:rPr>
          <w:rFonts w:ascii="Times New Roman" w:hAnsi="Times New Roman"/>
          <w:sz w:val="30"/>
          <w:szCs w:val="30"/>
        </w:rPr>
        <w:fldChar w:fldCharType="end"/>
      </w:r>
      <w:r>
        <w:rPr>
          <w:rFonts w:ascii="Times New Roman" w:hAnsi="Times New Roman"/>
          <w:sz w:val="30"/>
          <w:szCs w:val="30"/>
        </w:rPr>
        <w:fldChar w:fldCharType="end"/>
      </w:r>
    </w:p>
    <w:p>
      <w:pPr>
        <w:spacing w:line="700" w:lineRule="exact"/>
        <w:jc w:val="center"/>
        <w:rPr>
          <w:rFonts w:ascii="Times New Roman" w:hAnsi="Times New Roman" w:eastAsia="方正小标宋简体"/>
          <w:szCs w:val="44"/>
        </w:rPr>
        <w:sectPr>
          <w:footerReference r:id="rId3" w:type="default"/>
          <w:footerReference r:id="rId4" w:type="even"/>
          <w:pgSz w:w="11906" w:h="16838"/>
          <w:pgMar w:top="1440" w:right="1417" w:bottom="1440" w:left="1417" w:header="851" w:footer="992" w:gutter="0"/>
          <w:cols w:space="720" w:num="1"/>
          <w:docGrid w:type="lines" w:linePitch="312" w:charSpace="0"/>
        </w:sectPr>
      </w:pPr>
      <w:r>
        <w:rPr>
          <w:rFonts w:ascii="Times New Roman" w:hAnsi="Times New Roman" w:eastAsia="方正小标宋简体"/>
          <w:sz w:val="30"/>
          <w:szCs w:val="30"/>
        </w:rPr>
        <w:fldChar w:fldCharType="end"/>
      </w:r>
    </w:p>
    <w:p>
      <w:pPr>
        <w:pStyle w:val="2"/>
        <w:snapToGrid w:val="0"/>
        <w:spacing w:before="0" w:after="0" w:line="240" w:lineRule="auto"/>
        <w:jc w:val="center"/>
        <w:rPr>
          <w:rFonts w:ascii="Times New Roman" w:hAnsi="Times New Roman" w:eastAsia="方正小标宋_GBK"/>
          <w:b w:val="0"/>
          <w:bCs/>
          <w:szCs w:val="44"/>
        </w:rPr>
      </w:pPr>
      <w:bookmarkStart w:id="0" w:name="_Toc8607"/>
      <w:r>
        <w:rPr>
          <w:rFonts w:ascii="Times New Roman" w:hAnsi="Times New Roman" w:eastAsia="方正小标宋_GBK"/>
          <w:b w:val="0"/>
          <w:bCs/>
          <w:szCs w:val="44"/>
        </w:rPr>
        <w:t>黄山市徽州区国民经济和社会发展第十四个五年规划和2035年远景目标纲要</w:t>
      </w:r>
      <w:bookmarkEnd w:id="0"/>
    </w:p>
    <w:p>
      <w:pPr>
        <w:rPr>
          <w:rFonts w:ascii="Times New Roman" w:hAnsi="Times New Roman" w:eastAsia="方正仿宋_GBK"/>
          <w:sz w:val="32"/>
          <w:szCs w:val="32"/>
        </w:rPr>
      </w:pP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黄山市徽州区国民经济和社会发展第十四个五年规划和2035年远景目标纲要，是根据党的十九届五中全会和《中共黄山市徽州区委关于制定国民经济和社会发展第十四个五年规划和二〇三五年远景目标的建议》编制，主要明确“十四五”时期徽州区经济社会发展指导思想、发展目标、主要任务和重大举措，展望2035年远景目标，是未来五年政府依法履行职责的重要依据，是全区人民向共同富裕目标奋斗的蓝图，是新时期加快建设现代化经济体系、构建现代化社会治理体系，加快打造具有重要影响力的工业发展排头兵、新兴产业集聚地、绿色发展先行区、改革开放新窗口、美丽现代新城区目标的行动纲领。</w:t>
      </w: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2"/>
        <w:snapToGrid w:val="0"/>
        <w:spacing w:line="240" w:lineRule="auto"/>
        <w:jc w:val="center"/>
        <w:rPr>
          <w:rFonts w:ascii="Times New Roman" w:hAnsi="Times New Roman" w:eastAsia="黑体"/>
          <w:b w:val="0"/>
          <w:bCs/>
          <w:sz w:val="36"/>
          <w:szCs w:val="36"/>
        </w:rPr>
      </w:pPr>
      <w:bookmarkStart w:id="1" w:name="_Toc245"/>
      <w:r>
        <w:rPr>
          <w:rFonts w:ascii="Times New Roman" w:hAnsi="Times New Roman" w:eastAsia="黑体"/>
          <w:b w:val="0"/>
          <w:bCs/>
          <w:sz w:val="36"/>
          <w:szCs w:val="36"/>
        </w:rPr>
        <w:t>第一章 决胜全面建成小康社会  开启新阶段加快建设</w:t>
      </w:r>
    </w:p>
    <w:p>
      <w:pPr>
        <w:pStyle w:val="2"/>
        <w:snapToGrid w:val="0"/>
        <w:spacing w:line="240" w:lineRule="auto"/>
        <w:jc w:val="center"/>
        <w:rPr>
          <w:rFonts w:ascii="Times New Roman" w:hAnsi="Times New Roman" w:eastAsia="黑体"/>
          <w:b w:val="0"/>
          <w:bCs/>
          <w:sz w:val="36"/>
          <w:szCs w:val="36"/>
        </w:rPr>
      </w:pPr>
      <w:r>
        <w:rPr>
          <w:rFonts w:ascii="Times New Roman" w:hAnsi="Times New Roman" w:eastAsia="黑体"/>
          <w:b w:val="0"/>
          <w:bCs/>
          <w:sz w:val="36"/>
          <w:szCs w:val="36"/>
        </w:rPr>
        <w:t>富裕和谐美丽现代化新徽州新征程</w:t>
      </w:r>
      <w:bookmarkEnd w:id="1"/>
    </w:p>
    <w:p>
      <w:pPr>
        <w:pStyle w:val="3"/>
        <w:jc w:val="center"/>
        <w:rPr>
          <w:rFonts w:ascii="Times New Roman" w:hAnsi="Times New Roman" w:eastAsia="楷体_GB2312"/>
          <w:sz w:val="36"/>
          <w:szCs w:val="36"/>
        </w:rPr>
      </w:pPr>
      <w:bookmarkStart w:id="2" w:name="_Toc23559"/>
      <w:r>
        <w:rPr>
          <w:rFonts w:ascii="Times New Roman" w:hAnsi="Times New Roman" w:eastAsia="楷体_GB2312"/>
          <w:sz w:val="36"/>
          <w:szCs w:val="36"/>
        </w:rPr>
        <w:t>第一节  决胜全面建成小康社会取得决定性成就</w:t>
      </w:r>
      <w:bookmarkEnd w:id="2"/>
    </w:p>
    <w:p>
      <w:pPr>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十三五”时期是我区全面建成小康社会决胜阶段。五年来，面对复杂多变的国内外经济形势、艰巨繁重的改革发展稳定任务，特别是新冠肺炎疫情冲击，全区上下坚持以习近平新时代中国特色社会主义思想为指导，认真贯彻落实党的十九大和十九届二中、三中、四中、五中全会精神，认真落实中央和省市区委的决策部署，坚持稳中求进工作总基调，坚持以新发展理念为引领，深入实施“四大战略”，加快推进“十大提升行动”，全面落实“六稳”“六保”任务，全力以赴稳增长、促改革、调结构、惠民生、防风险，奋发有为推动全区各项事业迈上新台阶，取得了建设富裕和谐美丽现代化新徽州的关键性成就。</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综合实力取得明显跃升</w:t>
      </w:r>
      <w:r>
        <w:rPr>
          <w:rFonts w:ascii="Times New Roman" w:hAnsi="Times New Roman" w:eastAsia="仿宋_GB2312"/>
          <w:sz w:val="32"/>
          <w:szCs w:val="32"/>
        </w:rPr>
        <w:t>。地区生产总值</w:t>
      </w:r>
      <w:r>
        <w:rPr>
          <w:rFonts w:hint="eastAsia" w:ascii="Times New Roman" w:hAnsi="Times New Roman" w:eastAsia="仿宋_GB2312"/>
          <w:sz w:val="32"/>
          <w:szCs w:val="32"/>
        </w:rPr>
        <w:t>达到</w:t>
      </w:r>
      <w:r>
        <w:rPr>
          <w:rFonts w:ascii="Times New Roman" w:hAnsi="Times New Roman" w:eastAsia="仿宋_GB2312"/>
          <w:sz w:val="32"/>
          <w:szCs w:val="32"/>
        </w:rPr>
        <w:t>86.02亿元，年均增长7.</w:t>
      </w:r>
      <w:r>
        <w:rPr>
          <w:rFonts w:hint="eastAsia" w:ascii="Times New Roman" w:hAnsi="Times New Roman" w:eastAsia="仿宋_GB2312"/>
          <w:sz w:val="32"/>
          <w:szCs w:val="32"/>
        </w:rPr>
        <w:t>8</w:t>
      </w:r>
      <w:r>
        <w:rPr>
          <w:rFonts w:ascii="Times New Roman" w:hAnsi="Times New Roman" w:eastAsia="仿宋_GB2312"/>
          <w:sz w:val="32"/>
          <w:szCs w:val="32"/>
        </w:rPr>
        <w:t>%，人均地区生产总值8.99万元，年均增长8.2%；制造业增加值占GDP比重达到41.2%。规</w:t>
      </w:r>
      <w:r>
        <w:rPr>
          <w:rFonts w:hint="eastAsia" w:ascii="Times New Roman" w:hAnsi="Times New Roman" w:eastAsia="仿宋_GB2312"/>
          <w:sz w:val="32"/>
          <w:szCs w:val="32"/>
        </w:rPr>
        <w:t>模以上</w:t>
      </w:r>
      <w:r>
        <w:rPr>
          <w:rFonts w:ascii="Times New Roman" w:hAnsi="Times New Roman" w:eastAsia="仿宋_GB2312"/>
          <w:sz w:val="32"/>
          <w:szCs w:val="32"/>
        </w:rPr>
        <w:t>工业、战略性新兴产业、高新技术产业企业分别115户、46户、35户，规模以上工业增加值年均增长8.5%，战略性新兴产业产值占规模以上工业比重提高至59.8%。一般公共预算收入12.89亿元，年均增长6%；城镇常住居民人均可支配收入41999元，年均增长8.4%；农村常住居民人均可支配收入19145元，年均增长9.2%。</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脱贫攻坚取得重要成果</w:t>
      </w:r>
      <w:r>
        <w:rPr>
          <w:rFonts w:ascii="Times New Roman" w:hAnsi="Times New Roman" w:eastAsia="仿宋_GB2312"/>
          <w:sz w:val="32"/>
          <w:szCs w:val="32"/>
        </w:rPr>
        <w:t>。全区12个贫困村全部出列，建档立卡贫困人口1928户3970人全部稳定脱贫，脱贫户年人均纯收入增至14246元、较2015年翻了近两番，出列贫困村集体经济经营性收入均超20万元。聚焦“两不愁三保障一安全”，纵深推进“十大工程”，全面推广“四带一自”“三业一岗”“一自三合”等模式，累计投入财政专项扶贫资金1.15亿元，整合涉农资金7.5亿元，累计实施产业项目207个，产业到户覆盖率96.8%，发放扶贫小额信贷资金8186万元，认定就业扶贫基地30家、扶贫车间2个，实现1708名贫困劳动力稳岗就业。</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转型发展取得突出成效。</w:t>
      </w:r>
      <w:r>
        <w:rPr>
          <w:rFonts w:ascii="Times New Roman" w:hAnsi="Times New Roman" w:eastAsia="仿宋_GB2312"/>
          <w:sz w:val="32"/>
          <w:szCs w:val="32"/>
        </w:rPr>
        <w:t>三次产业占比由2015年的6.7:61.2:32.1调整为2020年的5.2:49.6:45.2。园区工业实体税收达4.7亿元，实现翻番，建成运营“四新”技改项目141个，徽州经济开发区列入省级开发区，先进结构材料入选全市首个省级“三重一创”重大新兴产业工程，循环园</w:t>
      </w:r>
      <w:r>
        <w:rPr>
          <w:rFonts w:hint="eastAsia" w:ascii="Times New Roman" w:hAnsi="Times New Roman" w:eastAsia="仿宋_GB2312"/>
          <w:sz w:val="32"/>
          <w:szCs w:val="32"/>
        </w:rPr>
        <w:t>区</w:t>
      </w:r>
      <w:r>
        <w:rPr>
          <w:rFonts w:ascii="Times New Roman" w:hAnsi="Times New Roman" w:eastAsia="仿宋_GB2312"/>
          <w:sz w:val="32"/>
          <w:szCs w:val="32"/>
        </w:rPr>
        <w:t>新材料产业基地列入全市首批重大基地。第三产业</w:t>
      </w:r>
      <w:r>
        <w:rPr>
          <w:rFonts w:hint="eastAsia" w:ascii="Times New Roman" w:hAnsi="Times New Roman" w:eastAsia="仿宋_GB2312"/>
          <w:sz w:val="32"/>
          <w:szCs w:val="32"/>
        </w:rPr>
        <w:t>实现</w:t>
      </w:r>
      <w:r>
        <w:rPr>
          <w:rFonts w:ascii="Times New Roman" w:hAnsi="Times New Roman" w:eastAsia="仿宋_GB2312"/>
          <w:sz w:val="32"/>
          <w:szCs w:val="32"/>
        </w:rPr>
        <w:t>增加值38.88亿元、年均增长7.4%，潜口健康养生服务业集聚区认定为省级示范园区，西溪南创意集聚区、黄山市电子商务集聚区（谢裕大）入选市级首批服务业集聚区。旅游接待量、旅游总收入年均增长分别为4.82%、5.22%，谢裕大茶博园成功创建4A级景区，西溪南村、呈坎村入选全国乡村旅游重点村，新华联豪生大酒店荣获国家“五叶级绿色饭店”称号。农村电商连续3年获省政府表彰。茶业、蜂业综合产值分别达11.5亿元、3.5亿元，谢裕大入选国家级农业龙头企业，</w:t>
      </w:r>
      <w:r>
        <w:rPr>
          <w:rFonts w:hint="eastAsia" w:ascii="Times New Roman" w:hAnsi="Times New Roman" w:eastAsia="仿宋_GB2312"/>
          <w:sz w:val="32"/>
          <w:szCs w:val="32"/>
        </w:rPr>
        <w:t>徽州区</w:t>
      </w:r>
      <w:r>
        <w:rPr>
          <w:rFonts w:ascii="Times New Roman" w:hAnsi="Times New Roman" w:eastAsia="仿宋_GB2312"/>
          <w:sz w:val="32"/>
          <w:szCs w:val="32"/>
        </w:rPr>
        <w:t>获评“中国‘十三五’茶业发展十强县”，连续13年荣获“中国茶业百强县”称号。</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城乡发展迈上新步伐</w:t>
      </w:r>
      <w:r>
        <w:rPr>
          <w:rFonts w:ascii="Times New Roman" w:hAnsi="Times New Roman" w:eastAsia="仿宋_GB2312"/>
          <w:sz w:val="32"/>
          <w:szCs w:val="32"/>
        </w:rPr>
        <w:t>。城区建成面积扩至14平方公里，中心城区路网框架、市政设施配套进一步完善，光纤、4G网络实现全覆盖，城市绿化率达39.13%，助力成功争创“全国文明城市”“国家卫生城市”。城乡道路总里程603.5公里，</w:t>
      </w:r>
      <w:r>
        <w:rPr>
          <w:rFonts w:hint="eastAsia" w:ascii="Times New Roman" w:hAnsi="Times New Roman" w:eastAsia="仿宋_GB2312"/>
          <w:sz w:val="32"/>
          <w:szCs w:val="32"/>
        </w:rPr>
        <w:t>其中农村公路总里程340.972公里，</w:t>
      </w:r>
      <w:r>
        <w:rPr>
          <w:rFonts w:ascii="Times New Roman" w:hAnsi="Times New Roman" w:eastAsia="仿宋_GB2312"/>
          <w:sz w:val="32"/>
          <w:szCs w:val="32"/>
        </w:rPr>
        <w:t>城乡公共交通全部实现绿色出行，荣获“全省‘四好农村路’示范县”“全省城乡道路客运一体化示范县”，呈灵潜旅游公路入选2019年全国美丽乡村路。创建省市特色小镇3个，西溪南创意小镇、潜口养生小镇先后入选“中国特色小镇50强”。完成自然村环境整治45个、农村改厕5500户，建成“生态美超市”47个，农村生活垃圾市场化运营实现全覆盖。建成16个省级、7个市级美丽乡村中心村，连续5年在全省考核验收中位居前列。禁养区畜禽养殖场全部关停搬迁，全区畜禽粪污综合利用率达95.75%。</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改革开放取得新突破。</w:t>
      </w:r>
      <w:r>
        <w:rPr>
          <w:rFonts w:ascii="Times New Roman" w:hAnsi="Times New Roman" w:eastAsia="仿宋_GB2312"/>
          <w:sz w:val="32"/>
          <w:szCs w:val="32"/>
        </w:rPr>
        <w:t>实施重点改革项目406个，28项列入国家、省级改革试点。加大“放管服”、商事制度改革，精简保留行政审批事项201项、精简率达55%，区乡镇村2030项事项全部实现“最多跑一次”，7×24小时不打烊“随时办”政务服务事项扩展至180项，新增市场主体5464个。政府机构、农村集体产权制度改革全面完成，医药卫生、教育、财税、国企等改革取得新进展。五年来累计签约落地项目312个（其中亿元项目62个），到位资金127.6亿元、年均增长16%，与萧山区建立战略合作。新增外贸备案企业64户，外贸进出口总额增至1.98亿美元</w:t>
      </w:r>
      <w:r>
        <w:rPr>
          <w:rFonts w:hint="eastAsia" w:ascii="Times New Roman" w:hAnsi="Times New Roman" w:eastAsia="仿宋_GB2312"/>
          <w:sz w:val="32"/>
          <w:szCs w:val="32"/>
        </w:rPr>
        <w:t>，</w:t>
      </w:r>
      <w:r>
        <w:rPr>
          <w:rFonts w:ascii="Times New Roman" w:hAnsi="Times New Roman" w:eastAsia="仿宋_GB2312"/>
          <w:sz w:val="32"/>
          <w:szCs w:val="32"/>
        </w:rPr>
        <w:t>年均增长10%。建成徽州区跨境电商孵化中心，2户企业在海外设立子公司，实现我区企业境外投资“零突破”。</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生态环境取得新改善。</w:t>
      </w:r>
      <w:r>
        <w:rPr>
          <w:rFonts w:ascii="Times New Roman" w:hAnsi="Times New Roman" w:eastAsia="仿宋_GB2312"/>
          <w:sz w:val="32"/>
          <w:szCs w:val="32"/>
        </w:rPr>
        <w:t>坚决打好污染防治三大攻坚战，全面实施“1225”水质稳控工作机制，园区VOCs在线监测平台、污水处理厂提标扩建工程投入运营，全区优良天数比例保持在9</w:t>
      </w:r>
      <w:r>
        <w:rPr>
          <w:rFonts w:hint="eastAsia" w:ascii="Times New Roman" w:hAnsi="Times New Roman" w:eastAsia="仿宋_GB2312"/>
          <w:sz w:val="32"/>
          <w:szCs w:val="32"/>
        </w:rPr>
        <w:t>5</w:t>
      </w:r>
      <w:r>
        <w:rPr>
          <w:rFonts w:ascii="Times New Roman" w:hAnsi="Times New Roman" w:eastAsia="仿宋_GB2312"/>
          <w:sz w:val="32"/>
          <w:szCs w:val="32"/>
        </w:rPr>
        <w:t>%以上。持续深化新安江流域生态补偿机制试点工作，累计实施项目39个、完成投资9.7亿元，市级考核断面水质持续改善。全面落实“河长制”“林长制”，深入开展松材线虫病防治，山水林田湖草</w:t>
      </w:r>
      <w:r>
        <w:rPr>
          <w:rFonts w:hint="eastAsia" w:ascii="Times New Roman" w:hAnsi="Times New Roman" w:eastAsia="仿宋_GB2312"/>
          <w:sz w:val="32"/>
          <w:szCs w:val="32"/>
        </w:rPr>
        <w:t>沙</w:t>
      </w:r>
      <w:r>
        <w:rPr>
          <w:rFonts w:ascii="Times New Roman" w:hAnsi="Times New Roman" w:eastAsia="仿宋_GB2312"/>
          <w:sz w:val="32"/>
          <w:szCs w:val="32"/>
        </w:rPr>
        <w:t>生态保护稳步推进，治理水土流失60平方公里，全区森林覆盖率达76.24%</w:t>
      </w:r>
      <w:r>
        <w:rPr>
          <w:rFonts w:hint="eastAsia" w:ascii="Times New Roman" w:hAnsi="Times New Roman" w:eastAsia="仿宋_GB2312"/>
          <w:sz w:val="32"/>
          <w:szCs w:val="32"/>
        </w:rPr>
        <w:t>，</w:t>
      </w:r>
      <w:r>
        <w:rPr>
          <w:rFonts w:ascii="Times New Roman" w:hAnsi="Times New Roman" w:eastAsia="仿宋_GB2312"/>
          <w:sz w:val="32"/>
          <w:szCs w:val="32"/>
        </w:rPr>
        <w:t>4个村成功创建国家森林乡村。</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社会民生取得新进步。</w:t>
      </w:r>
      <w:r>
        <w:rPr>
          <w:rFonts w:ascii="Times New Roman" w:hAnsi="Times New Roman" w:eastAsia="仿宋_GB2312"/>
          <w:sz w:val="32"/>
          <w:szCs w:val="32"/>
        </w:rPr>
        <w:t>民生工程累计投资24.55亿元，较“十二五”增长93.2%，连续五年全市民生工程考核第一。社会救助体系基本建立，城乡大病医疗保险全面实施，和康医养城北片居家养老服务中心建成运营，城乡基本养老体系取得积极进展。城镇登记失业率控制在2.7%以内，徽州经济开发区获评“安徽省和谐劳动关系示范工业园区”。改造老旧小区50个、棚户区1849套、农村危房1167户。财政性教育累计投入7.82亿元、年均增长5.4%，凤山幼儿园建成使用，全国义务教育优质均衡发展区创建工作取得阶段性成果。基层中医馆实现乡镇、社区全覆盖，“智医助理”全面推开，率先在全市实现长三角异地门诊就医即时结算。徽州古建筑保护利用工程深入实施，岩寺新四军军部旧址纪念馆入选国家级抗战纪念设施、遗址名录，</w:t>
      </w:r>
      <w:r>
        <w:rPr>
          <w:rFonts w:hint="eastAsia" w:ascii="Times New Roman" w:hAnsi="Times New Roman" w:eastAsia="仿宋_GB2312"/>
          <w:sz w:val="32"/>
          <w:szCs w:val="32"/>
        </w:rPr>
        <w:t>徽州</w:t>
      </w:r>
      <w:r>
        <w:rPr>
          <w:rFonts w:ascii="Times New Roman" w:hAnsi="Times New Roman" w:eastAsia="仿宋_GB2312"/>
          <w:sz w:val="32"/>
          <w:szCs w:val="32"/>
        </w:rPr>
        <w:t>区被纳入全国首批革命文物保护利用片区。区龙舟队连续9年蝉联新安江龙舟赛冠军，入选“皖南（县域）国家体育产业示范基地”。新时代文明实践中心建设列入国家试点，社会主义核心价值观深入人心，获评“中国好人”4人、“安徽好人”6人、“黄山好人”55人。扎实推进“枫桥经验”徽州实践，荣获“全国信访工作‘三无’区（县）”称号。市域社会治理现代化试点工作顺利开展，“平安徽州”建设深入推进，扫黑除恶专项斗争成效显著，安全生产形势平稳，“党政同责、一岗双责、齐抓共管、失职追责”领导包保责任制被国家、省、市宣传推广。</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五年来，我区相继荣获“全国村庄清洁行动先进县”“中国营商环境百强区县”“全国百佳深呼吸小城”“中部六省营商环境十强区县”“长三角优质乡村文旅目的地”和“全省发展民营经济成效明显地区”“安徽省文明城区”“全省实施乡村振兴战略实绩考核优秀单位”“</w:t>
      </w:r>
      <w:r>
        <w:rPr>
          <w:rFonts w:hint="eastAsia" w:ascii="Times New Roman" w:hAnsi="Times New Roman" w:eastAsia="仿宋_GB2312"/>
          <w:sz w:val="32"/>
          <w:szCs w:val="32"/>
        </w:rPr>
        <w:t>安徽</w:t>
      </w:r>
      <w:r>
        <w:rPr>
          <w:rFonts w:ascii="Times New Roman" w:hAnsi="Times New Roman" w:eastAsia="仿宋_GB2312"/>
          <w:sz w:val="32"/>
          <w:szCs w:val="32"/>
        </w:rPr>
        <w:t>省美丽乡村建设先进区县”“</w:t>
      </w:r>
      <w:r>
        <w:rPr>
          <w:rFonts w:hint="eastAsia" w:ascii="Times New Roman" w:hAnsi="Times New Roman" w:eastAsia="仿宋_GB2312"/>
          <w:sz w:val="32"/>
          <w:szCs w:val="32"/>
        </w:rPr>
        <w:t>安徽</w:t>
      </w:r>
      <w:r>
        <w:rPr>
          <w:rFonts w:ascii="Times New Roman" w:hAnsi="Times New Roman" w:eastAsia="仿宋_GB2312"/>
          <w:sz w:val="32"/>
          <w:szCs w:val="32"/>
        </w:rPr>
        <w:t>省民生工程绩效奖补区县”“</w:t>
      </w:r>
      <w:r>
        <w:rPr>
          <w:rFonts w:hint="eastAsia" w:ascii="Times New Roman" w:hAnsi="Times New Roman" w:eastAsia="仿宋_GB2312"/>
          <w:sz w:val="32"/>
          <w:szCs w:val="32"/>
        </w:rPr>
        <w:t>安徽</w:t>
      </w:r>
      <w:r>
        <w:rPr>
          <w:rFonts w:ascii="Times New Roman" w:hAnsi="Times New Roman" w:eastAsia="仿宋_GB2312"/>
          <w:sz w:val="32"/>
          <w:szCs w:val="32"/>
        </w:rPr>
        <w:t>省农村电商巩固提升工作示范区县”“</w:t>
      </w:r>
      <w:r>
        <w:rPr>
          <w:rFonts w:hint="eastAsia" w:ascii="Times New Roman" w:hAnsi="Times New Roman" w:eastAsia="仿宋_GB2312"/>
          <w:sz w:val="32"/>
          <w:szCs w:val="32"/>
        </w:rPr>
        <w:t>安徽省</w:t>
      </w:r>
      <w:r>
        <w:rPr>
          <w:rFonts w:ascii="Times New Roman" w:hAnsi="Times New Roman" w:eastAsia="仿宋_GB2312"/>
          <w:sz w:val="32"/>
          <w:szCs w:val="32"/>
        </w:rPr>
        <w:t>电子商务进农村全覆盖工作先进区县”“</w:t>
      </w:r>
      <w:r>
        <w:rPr>
          <w:rFonts w:hint="eastAsia" w:ascii="Times New Roman" w:hAnsi="Times New Roman" w:eastAsia="仿宋_GB2312"/>
          <w:sz w:val="32"/>
          <w:szCs w:val="32"/>
        </w:rPr>
        <w:t>安徽</w:t>
      </w:r>
      <w:r>
        <w:rPr>
          <w:rFonts w:ascii="Times New Roman" w:hAnsi="Times New Roman" w:eastAsia="仿宋_GB2312"/>
          <w:sz w:val="32"/>
          <w:szCs w:val="32"/>
        </w:rPr>
        <w:t>省农村电商优化升级工作示范区县”“</w:t>
      </w:r>
      <w:r>
        <w:rPr>
          <w:rFonts w:hint="eastAsia" w:ascii="Times New Roman" w:hAnsi="Times New Roman" w:eastAsia="仿宋_GB2312"/>
          <w:sz w:val="32"/>
          <w:szCs w:val="32"/>
        </w:rPr>
        <w:t>安徽</w:t>
      </w:r>
      <w:r>
        <w:rPr>
          <w:rFonts w:ascii="Times New Roman" w:hAnsi="Times New Roman" w:eastAsia="仿宋_GB2312"/>
          <w:sz w:val="32"/>
          <w:szCs w:val="32"/>
        </w:rPr>
        <w:t>省重点项目建设先进单位”等荣誉。“十三五”规划目标总体完成，全面建成小康社会胜利在望，富裕和谐美丽现代化新徽州建设迈出了新的一大步。</w:t>
      </w:r>
    </w:p>
    <w:p>
      <w:pPr>
        <w:pStyle w:val="11"/>
        <w:ind w:firstLine="210"/>
      </w:pPr>
    </w:p>
    <w:p>
      <w:pPr>
        <w:pStyle w:val="4"/>
        <w:jc w:val="center"/>
        <w:rPr>
          <w:rFonts w:ascii="Times New Roman" w:hAnsi="Times New Roman"/>
          <w:b/>
          <w:bCs/>
          <w:color w:val="auto"/>
          <w:sz w:val="32"/>
          <w:szCs w:val="32"/>
        </w:rPr>
      </w:pPr>
      <w:bookmarkStart w:id="3" w:name="_Toc17537"/>
      <w:r>
        <w:rPr>
          <w:rFonts w:ascii="Times New Roman" w:hAnsi="Times New Roman"/>
          <w:b/>
          <w:bCs/>
          <w:color w:val="auto"/>
          <w:sz w:val="32"/>
          <w:szCs w:val="32"/>
        </w:rPr>
        <w:t>专栏1  徽州区“十三五”发展目标指标完成情况</w:t>
      </w:r>
      <w:bookmarkEnd w:id="3"/>
    </w:p>
    <w:p>
      <w:pPr>
        <w:rPr>
          <w:rFonts w:ascii="Times New Roman" w:hAnsi="Times New Roman"/>
        </w:rPr>
      </w:pPr>
    </w:p>
    <w:tbl>
      <w:tblPr>
        <w:tblStyle w:val="12"/>
        <w:tblW w:w="4943" w:type="pct"/>
        <w:jc w:val="center"/>
        <w:tblLayout w:type="fixed"/>
        <w:tblCellMar>
          <w:top w:w="0" w:type="dxa"/>
          <w:left w:w="0" w:type="dxa"/>
          <w:bottom w:w="0" w:type="dxa"/>
          <w:right w:w="0" w:type="dxa"/>
        </w:tblCellMar>
      </w:tblPr>
      <w:tblGrid>
        <w:gridCol w:w="627"/>
        <w:gridCol w:w="2353"/>
        <w:gridCol w:w="1410"/>
        <w:gridCol w:w="1410"/>
        <w:gridCol w:w="1410"/>
        <w:gridCol w:w="1410"/>
      </w:tblGrid>
      <w:tr>
        <w:tblPrEx>
          <w:tblCellMar>
            <w:top w:w="0" w:type="dxa"/>
            <w:left w:w="0" w:type="dxa"/>
            <w:bottom w:w="0" w:type="dxa"/>
            <w:right w:w="0" w:type="dxa"/>
          </w:tblCellMar>
        </w:tblPrEx>
        <w:trPr>
          <w:trHeight w:val="649" w:hRule="atLeast"/>
          <w:jc w:val="center"/>
        </w:trPr>
        <w:tc>
          <w:tcPr>
            <w:tcW w:w="36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黑体"/>
                <w:bCs/>
                <w:szCs w:val="21"/>
              </w:rPr>
            </w:pPr>
            <w:r>
              <w:rPr>
                <w:rFonts w:ascii="Times New Roman" w:hAnsi="Times New Roman" w:eastAsia="黑体"/>
                <w:bCs/>
                <w:szCs w:val="21"/>
              </w:rPr>
              <w:t>分类</w:t>
            </w: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黑体"/>
                <w:bCs/>
                <w:szCs w:val="21"/>
              </w:rPr>
            </w:pPr>
            <w:r>
              <w:rPr>
                <w:rFonts w:ascii="Times New Roman" w:hAnsi="Times New Roman" w:eastAsia="黑体"/>
                <w:bCs/>
                <w:szCs w:val="21"/>
              </w:rPr>
              <w:t>指标名称</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黑体"/>
                <w:bCs/>
                <w:szCs w:val="21"/>
              </w:rPr>
            </w:pPr>
            <w:r>
              <w:rPr>
                <w:rFonts w:ascii="Times New Roman" w:hAnsi="Times New Roman" w:eastAsia="黑体"/>
                <w:bCs/>
                <w:szCs w:val="21"/>
              </w:rPr>
              <w:t>2015年</w:t>
            </w:r>
          </w:p>
          <w:p>
            <w:pPr>
              <w:spacing w:line="300" w:lineRule="exact"/>
              <w:jc w:val="center"/>
              <w:textAlignment w:val="center"/>
              <w:rPr>
                <w:rFonts w:ascii="Times New Roman" w:hAnsi="Times New Roman" w:eastAsia="黑体"/>
                <w:bCs/>
                <w:szCs w:val="21"/>
              </w:rPr>
            </w:pPr>
            <w:r>
              <w:rPr>
                <w:rFonts w:ascii="Times New Roman" w:hAnsi="Times New Roman" w:eastAsia="黑体"/>
                <w:bCs/>
                <w:szCs w:val="21"/>
              </w:rPr>
              <w:t>完成情值</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黑体"/>
                <w:bCs/>
                <w:szCs w:val="21"/>
              </w:rPr>
            </w:pPr>
            <w:r>
              <w:rPr>
                <w:rFonts w:ascii="Times New Roman" w:hAnsi="Times New Roman" w:eastAsia="黑体"/>
                <w:bCs/>
                <w:szCs w:val="21"/>
              </w:rPr>
              <w:t>“十三五”</w:t>
            </w:r>
          </w:p>
          <w:p>
            <w:pPr>
              <w:spacing w:line="300" w:lineRule="exact"/>
              <w:jc w:val="center"/>
              <w:textAlignment w:val="center"/>
              <w:rPr>
                <w:rFonts w:ascii="Times New Roman" w:hAnsi="Times New Roman" w:eastAsia="黑体"/>
                <w:bCs/>
                <w:szCs w:val="21"/>
              </w:rPr>
            </w:pPr>
            <w:r>
              <w:rPr>
                <w:rFonts w:ascii="Times New Roman" w:hAnsi="Times New Roman" w:eastAsia="黑体"/>
                <w:bCs/>
                <w:szCs w:val="21"/>
              </w:rPr>
              <w:t>规划目标</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黑体"/>
                <w:bCs/>
                <w:szCs w:val="21"/>
              </w:rPr>
            </w:pPr>
            <w:r>
              <w:rPr>
                <w:rFonts w:ascii="Times New Roman" w:hAnsi="Times New Roman" w:eastAsia="黑体"/>
                <w:bCs/>
                <w:szCs w:val="21"/>
              </w:rPr>
              <w:t>2020年</w:t>
            </w:r>
          </w:p>
          <w:p>
            <w:pPr>
              <w:spacing w:line="300" w:lineRule="exact"/>
              <w:jc w:val="center"/>
              <w:textAlignment w:val="center"/>
              <w:rPr>
                <w:rFonts w:ascii="Times New Roman" w:hAnsi="Times New Roman" w:eastAsia="黑体"/>
                <w:bCs/>
                <w:szCs w:val="21"/>
              </w:rPr>
            </w:pPr>
            <w:r>
              <w:rPr>
                <w:rFonts w:ascii="Times New Roman" w:hAnsi="Times New Roman" w:eastAsia="黑体"/>
                <w:bCs/>
                <w:szCs w:val="21"/>
              </w:rPr>
              <w:t>完成情况</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黑体"/>
                <w:bCs/>
                <w:szCs w:val="21"/>
              </w:rPr>
            </w:pPr>
            <w:r>
              <w:rPr>
                <w:rFonts w:ascii="Times New Roman" w:hAnsi="Times New Roman" w:eastAsia="黑体"/>
                <w:bCs/>
                <w:szCs w:val="21"/>
              </w:rPr>
              <w:t>“十三五”</w:t>
            </w:r>
          </w:p>
          <w:p>
            <w:pPr>
              <w:spacing w:line="300" w:lineRule="exact"/>
              <w:jc w:val="center"/>
              <w:textAlignment w:val="center"/>
              <w:rPr>
                <w:rFonts w:ascii="Times New Roman" w:hAnsi="Times New Roman" w:eastAsia="黑体"/>
                <w:bCs/>
                <w:szCs w:val="21"/>
              </w:rPr>
            </w:pPr>
            <w:r>
              <w:rPr>
                <w:rFonts w:ascii="Times New Roman" w:hAnsi="Times New Roman" w:eastAsia="黑体"/>
                <w:bCs/>
                <w:szCs w:val="21"/>
              </w:rPr>
              <w:t>年均增长</w:t>
            </w:r>
          </w:p>
        </w:tc>
      </w:tr>
      <w:tr>
        <w:tblPrEx>
          <w:tblCellMar>
            <w:top w:w="0" w:type="dxa"/>
            <w:left w:w="0" w:type="dxa"/>
            <w:bottom w:w="0" w:type="dxa"/>
            <w:right w:w="0" w:type="dxa"/>
          </w:tblCellMar>
        </w:tblPrEx>
        <w:trPr>
          <w:trHeight w:val="305" w:hRule="atLeast"/>
          <w:jc w:val="center"/>
        </w:trPr>
        <w:tc>
          <w:tcPr>
            <w:tcW w:w="363"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经济</w:t>
            </w:r>
          </w:p>
          <w:p>
            <w:pPr>
              <w:spacing w:line="300" w:lineRule="exact"/>
              <w:jc w:val="center"/>
              <w:textAlignment w:val="center"/>
              <w:rPr>
                <w:rFonts w:ascii="Times New Roman" w:hAnsi="Times New Roman" w:eastAsia="仿宋"/>
                <w:szCs w:val="21"/>
              </w:rPr>
            </w:pPr>
            <w:r>
              <w:rPr>
                <w:rFonts w:ascii="Times New Roman" w:hAnsi="Times New Roman" w:eastAsia="仿宋"/>
                <w:szCs w:val="21"/>
              </w:rPr>
              <w:t>总量</w:t>
            </w: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地区生产总值</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50.6亿元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80亿元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hint="eastAsia" w:ascii="Times New Roman" w:hAnsi="Times New Roman" w:eastAsia="仿宋"/>
                <w:szCs w:val="21"/>
              </w:rPr>
              <w:t>86.02</w:t>
            </w:r>
            <w:r>
              <w:rPr>
                <w:rFonts w:ascii="Times New Roman" w:hAnsi="Times New Roman" w:eastAsia="仿宋"/>
                <w:szCs w:val="21"/>
              </w:rPr>
              <w:t>亿元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7.</w:t>
            </w:r>
            <w:r>
              <w:rPr>
                <w:rFonts w:hint="eastAsia" w:ascii="Times New Roman" w:hAnsi="Times New Roman" w:eastAsia="仿宋"/>
                <w:szCs w:val="21"/>
              </w:rPr>
              <w:t>8</w:t>
            </w:r>
            <w:r>
              <w:rPr>
                <w:rFonts w:ascii="Times New Roman" w:hAnsi="Times New Roman" w:eastAsia="仿宋"/>
                <w:szCs w:val="21"/>
              </w:rPr>
              <w:t>%</w:t>
            </w:r>
          </w:p>
        </w:tc>
      </w:tr>
      <w:tr>
        <w:tblPrEx>
          <w:tblCellMar>
            <w:top w:w="0" w:type="dxa"/>
            <w:left w:w="0" w:type="dxa"/>
            <w:bottom w:w="0" w:type="dxa"/>
            <w:right w:w="0" w:type="dxa"/>
          </w:tblCellMar>
        </w:tblPrEx>
        <w:trPr>
          <w:trHeight w:val="305" w:hRule="atLeast"/>
          <w:jc w:val="center"/>
        </w:trPr>
        <w:tc>
          <w:tcPr>
            <w:tcW w:w="363" w:type="pct"/>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人均地区生产总值</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5</w:t>
            </w:r>
            <w:r>
              <w:rPr>
                <w:rFonts w:hint="eastAsia" w:ascii="Times New Roman" w:hAnsi="Times New Roman" w:eastAsia="仿宋"/>
                <w:szCs w:val="21"/>
              </w:rPr>
              <w:t>.36万</w:t>
            </w:r>
            <w:r>
              <w:rPr>
                <w:rFonts w:ascii="Times New Roman" w:hAnsi="Times New Roman" w:eastAsia="仿宋"/>
                <w:szCs w:val="21"/>
              </w:rPr>
              <w:t>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8%</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hint="eastAsia" w:ascii="Times New Roman" w:hAnsi="Times New Roman" w:eastAsia="仿宋"/>
                <w:szCs w:val="21"/>
              </w:rPr>
              <w:t>8.99万</w:t>
            </w:r>
            <w:r>
              <w:rPr>
                <w:rFonts w:ascii="Times New Roman" w:hAnsi="Times New Roman" w:eastAsia="仿宋"/>
                <w:szCs w:val="21"/>
              </w:rPr>
              <w:t>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8.2%</w:t>
            </w:r>
          </w:p>
        </w:tc>
      </w:tr>
      <w:tr>
        <w:tblPrEx>
          <w:tblCellMar>
            <w:top w:w="0" w:type="dxa"/>
            <w:left w:w="0" w:type="dxa"/>
            <w:bottom w:w="0" w:type="dxa"/>
            <w:right w:w="0" w:type="dxa"/>
          </w:tblCellMar>
        </w:tblPrEx>
        <w:trPr>
          <w:trHeight w:val="333" w:hRule="atLeast"/>
          <w:jc w:val="center"/>
        </w:trPr>
        <w:tc>
          <w:tcPr>
            <w:tcW w:w="363" w:type="pct"/>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固定资产投资（累计）</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179.95亿元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7%</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13.3%</w:t>
            </w:r>
          </w:p>
        </w:tc>
      </w:tr>
      <w:tr>
        <w:tblPrEx>
          <w:tblCellMar>
            <w:top w:w="0" w:type="dxa"/>
            <w:left w:w="0" w:type="dxa"/>
            <w:bottom w:w="0" w:type="dxa"/>
            <w:right w:w="0" w:type="dxa"/>
          </w:tblCellMar>
        </w:tblPrEx>
        <w:trPr>
          <w:trHeight w:val="315" w:hRule="atLeast"/>
          <w:jc w:val="center"/>
        </w:trPr>
        <w:tc>
          <w:tcPr>
            <w:tcW w:w="363" w:type="pct"/>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社会消费品零售总额</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14.4亿元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23.2亿元</w:t>
            </w:r>
          </w:p>
        </w:tc>
        <w:tc>
          <w:tcPr>
            <w:tcW w:w="8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32.3亿元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10.6%</w:t>
            </w:r>
          </w:p>
        </w:tc>
      </w:tr>
      <w:tr>
        <w:tblPrEx>
          <w:tblCellMar>
            <w:top w:w="0" w:type="dxa"/>
            <w:left w:w="0" w:type="dxa"/>
            <w:bottom w:w="0" w:type="dxa"/>
            <w:right w:w="0" w:type="dxa"/>
          </w:tblCellMar>
        </w:tblPrEx>
        <w:trPr>
          <w:trHeight w:val="338" w:hRule="atLeast"/>
          <w:jc w:val="center"/>
        </w:trPr>
        <w:tc>
          <w:tcPr>
            <w:tcW w:w="3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财政收入</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9.59亿元</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13.4亿元</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12.8</w:t>
            </w:r>
            <w:r>
              <w:rPr>
                <w:rFonts w:hint="eastAsia" w:ascii="Times New Roman" w:hAnsi="Times New Roman" w:eastAsia="仿宋"/>
                <w:szCs w:val="21"/>
              </w:rPr>
              <w:t>9</w:t>
            </w:r>
            <w:r>
              <w:rPr>
                <w:rFonts w:ascii="Times New Roman" w:hAnsi="Times New Roman" w:eastAsia="仿宋"/>
                <w:szCs w:val="21"/>
              </w:rPr>
              <w:t>亿元</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6%</w:t>
            </w:r>
          </w:p>
        </w:tc>
      </w:tr>
      <w:tr>
        <w:tblPrEx>
          <w:tblCellMar>
            <w:top w:w="0" w:type="dxa"/>
            <w:left w:w="0" w:type="dxa"/>
            <w:bottom w:w="0" w:type="dxa"/>
            <w:right w:w="0" w:type="dxa"/>
          </w:tblCellMar>
        </w:tblPrEx>
        <w:trPr>
          <w:trHeight w:val="394" w:hRule="atLeast"/>
          <w:jc w:val="center"/>
        </w:trPr>
        <w:tc>
          <w:tcPr>
            <w:tcW w:w="363"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旅游总收入</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27.4亿元</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10%</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31.96亿元</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5.22%</w:t>
            </w:r>
          </w:p>
        </w:tc>
      </w:tr>
      <w:tr>
        <w:tblPrEx>
          <w:tblCellMar>
            <w:top w:w="0" w:type="dxa"/>
            <w:left w:w="0" w:type="dxa"/>
            <w:bottom w:w="0" w:type="dxa"/>
            <w:right w:w="0" w:type="dxa"/>
          </w:tblCellMar>
        </w:tblPrEx>
        <w:trPr>
          <w:trHeight w:val="272" w:hRule="atLeast"/>
          <w:jc w:val="center"/>
        </w:trPr>
        <w:tc>
          <w:tcPr>
            <w:tcW w:w="3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结构</w:t>
            </w:r>
          </w:p>
          <w:p>
            <w:pPr>
              <w:spacing w:line="300" w:lineRule="exact"/>
              <w:jc w:val="center"/>
              <w:textAlignment w:val="center"/>
              <w:rPr>
                <w:rFonts w:ascii="Times New Roman" w:hAnsi="Times New Roman" w:eastAsia="仿宋"/>
                <w:szCs w:val="21"/>
              </w:rPr>
            </w:pPr>
            <w:r>
              <w:rPr>
                <w:rFonts w:ascii="Times New Roman" w:hAnsi="Times New Roman" w:eastAsia="仿宋"/>
                <w:szCs w:val="21"/>
              </w:rPr>
              <w:t>调整</w:t>
            </w: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三次产业比</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6.7:61.2:32.1</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6:54:40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hint="eastAsia" w:ascii="Times New Roman" w:hAnsi="Times New Roman" w:eastAsia="仿宋"/>
                <w:szCs w:val="21"/>
              </w:rPr>
              <w:t>5.2:49.6:45.2</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90"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规模以上工业增加值</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29.06亿元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6%</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8.5%</w:t>
            </w:r>
          </w:p>
        </w:tc>
      </w:tr>
      <w:tr>
        <w:tblPrEx>
          <w:tblCellMar>
            <w:top w:w="0" w:type="dxa"/>
            <w:left w:w="0" w:type="dxa"/>
            <w:bottom w:w="0" w:type="dxa"/>
            <w:right w:w="0" w:type="dxa"/>
          </w:tblCellMar>
        </w:tblPrEx>
        <w:trPr>
          <w:trHeight w:val="730" w:hRule="atLeast"/>
          <w:jc w:val="center"/>
        </w:trPr>
        <w:tc>
          <w:tcPr>
            <w:tcW w:w="3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创新</w:t>
            </w:r>
          </w:p>
          <w:p>
            <w:pPr>
              <w:spacing w:line="300" w:lineRule="exact"/>
              <w:jc w:val="center"/>
              <w:textAlignment w:val="center"/>
              <w:rPr>
                <w:rFonts w:ascii="Times New Roman" w:hAnsi="Times New Roman" w:eastAsia="仿宋"/>
                <w:szCs w:val="21"/>
              </w:rPr>
            </w:pPr>
            <w:r>
              <w:rPr>
                <w:rFonts w:ascii="Times New Roman" w:hAnsi="Times New Roman" w:eastAsia="仿宋"/>
                <w:szCs w:val="21"/>
              </w:rPr>
              <w:t>能力</w:t>
            </w: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研究与试验发展经费支出占地区生产总值比重</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2%</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hint="eastAsia" w:ascii="Times New Roman" w:hAnsi="Times New Roman" w:eastAsia="仿宋"/>
                <w:szCs w:val="21"/>
              </w:rPr>
              <w:t>2.66</w:t>
            </w:r>
            <w:r>
              <w:rPr>
                <w:rFonts w:ascii="Times New Roman" w:hAnsi="Times New Roman" w:eastAsia="仿宋"/>
                <w:szCs w:val="21"/>
              </w:rPr>
              <w:t>%</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387"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国家高新技术企业数</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18户</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23户</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35户</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90"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每万人发明专利拥有量</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12.5件</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20件</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25件</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642" w:hRule="atLeast"/>
          <w:jc w:val="center"/>
        </w:trPr>
        <w:tc>
          <w:tcPr>
            <w:tcW w:w="3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生态</w:t>
            </w:r>
          </w:p>
          <w:p>
            <w:pPr>
              <w:spacing w:line="300" w:lineRule="exact"/>
              <w:jc w:val="center"/>
              <w:textAlignment w:val="center"/>
              <w:rPr>
                <w:rFonts w:ascii="Times New Roman" w:hAnsi="Times New Roman" w:eastAsia="仿宋"/>
                <w:szCs w:val="21"/>
              </w:rPr>
            </w:pPr>
            <w:r>
              <w:rPr>
                <w:rFonts w:ascii="Times New Roman" w:hAnsi="Times New Roman" w:eastAsia="仿宋"/>
                <w:szCs w:val="21"/>
              </w:rPr>
              <w:t>环境</w:t>
            </w: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单位生产总值能耗</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达市控目标</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 w:val="18"/>
                <w:szCs w:val="18"/>
              </w:rPr>
            </w:pPr>
            <w:r>
              <w:rPr>
                <w:rFonts w:ascii="Times New Roman" w:hAnsi="Times New Roman" w:eastAsia="仿宋"/>
                <w:szCs w:val="21"/>
              </w:rPr>
              <w:t>达市控目标</w:t>
            </w:r>
            <w:r>
              <w:rPr>
                <w:rFonts w:ascii="Times New Roman" w:hAnsi="Times New Roman" w:eastAsia="仿宋"/>
                <w:sz w:val="18"/>
                <w:szCs w:val="18"/>
              </w:rPr>
              <w:t>（累计下降10%）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b/>
                <w:szCs w:val="21"/>
              </w:rPr>
            </w:pPr>
            <w:r>
              <w:rPr>
                <w:rFonts w:ascii="Times New Roman" w:hAnsi="Times New Roman" w:eastAsia="仿宋"/>
                <w:szCs w:val="21"/>
              </w:rPr>
              <w:t>达市控目标</w:t>
            </w:r>
            <w:r>
              <w:rPr>
                <w:rFonts w:ascii="Times New Roman" w:hAnsi="Times New Roman" w:eastAsia="仿宋"/>
                <w:sz w:val="18"/>
                <w:szCs w:val="18"/>
              </w:rPr>
              <w:t>（累计下降10%）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399"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主要污染物排放</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达市控目标</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达市控目标</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达市控目标</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411"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城镇生活垃圾无害化处理率</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506"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工业污水处理率</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406"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城镇生活污水处理率</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95%以上</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98%</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383"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地表水水质达标率</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281"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森林覆盖率</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75.58%</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75.8%</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76.24%</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527" w:hRule="atLeast"/>
          <w:jc w:val="center"/>
        </w:trPr>
        <w:tc>
          <w:tcPr>
            <w:tcW w:w="3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民生</w:t>
            </w:r>
          </w:p>
          <w:p>
            <w:pPr>
              <w:spacing w:line="300" w:lineRule="exact"/>
              <w:jc w:val="center"/>
              <w:textAlignment w:val="center"/>
              <w:rPr>
                <w:rFonts w:ascii="Times New Roman" w:hAnsi="Times New Roman" w:eastAsia="仿宋"/>
                <w:szCs w:val="21"/>
              </w:rPr>
            </w:pPr>
            <w:r>
              <w:rPr>
                <w:rFonts w:ascii="Times New Roman" w:hAnsi="Times New Roman" w:eastAsia="仿宋"/>
                <w:szCs w:val="21"/>
              </w:rPr>
              <w:t>改善</w:t>
            </w: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城镇常住居民人均可支配收入</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27957元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41078元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hint="eastAsia" w:ascii="Times New Roman" w:hAnsi="Times New Roman" w:eastAsia="仿宋"/>
                <w:szCs w:val="21"/>
              </w:rPr>
              <w:t>41999</w:t>
            </w:r>
            <w:r>
              <w:rPr>
                <w:rFonts w:ascii="Times New Roman" w:hAnsi="Times New Roman" w:eastAsia="仿宋"/>
                <w:szCs w:val="21"/>
              </w:rPr>
              <w:t>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8.4%</w:t>
            </w:r>
          </w:p>
        </w:tc>
      </w:tr>
      <w:tr>
        <w:tblPrEx>
          <w:tblCellMar>
            <w:top w:w="0" w:type="dxa"/>
            <w:left w:w="0" w:type="dxa"/>
            <w:bottom w:w="0" w:type="dxa"/>
            <w:right w:w="0" w:type="dxa"/>
          </w:tblCellMar>
        </w:tblPrEx>
        <w:trPr>
          <w:trHeight w:val="258"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农村常住居民人均可支配收入</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12325元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18109元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hint="eastAsia" w:ascii="Times New Roman" w:hAnsi="Times New Roman" w:eastAsia="仿宋"/>
                <w:szCs w:val="21"/>
              </w:rPr>
              <w:t>19145</w:t>
            </w:r>
            <w:r>
              <w:rPr>
                <w:rFonts w:ascii="Times New Roman" w:hAnsi="Times New Roman" w:eastAsia="仿宋"/>
                <w:szCs w:val="21"/>
              </w:rPr>
              <w:t>元</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9.2%</w:t>
            </w:r>
          </w:p>
        </w:tc>
      </w:tr>
      <w:tr>
        <w:tblPrEx>
          <w:tblCellMar>
            <w:top w:w="0" w:type="dxa"/>
            <w:left w:w="0" w:type="dxa"/>
            <w:bottom w:w="0" w:type="dxa"/>
            <w:right w:w="0" w:type="dxa"/>
          </w:tblCellMar>
        </w:tblPrEx>
        <w:trPr>
          <w:trHeight w:val="305"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新增就业岗位（累计）</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0.9万个</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0.8万个</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1.36万个</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567"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基本养老保险参保人数</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超额完成市下达任务</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590" w:hRule="atLeast"/>
          <w:jc w:val="center"/>
        </w:trPr>
        <w:tc>
          <w:tcPr>
            <w:tcW w:w="363" w:type="pct"/>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基本医疗保险参保人数</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超额完成市下达任务</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328" w:hRule="atLeast"/>
          <w:jc w:val="center"/>
        </w:trPr>
        <w:tc>
          <w:tcPr>
            <w:tcW w:w="36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高中阶段毛入学率</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80%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90%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100%</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center"/>
              <w:rPr>
                <w:rFonts w:ascii="Times New Roman" w:hAnsi="Times New Roman" w:eastAsia="仿宋"/>
                <w:szCs w:val="21"/>
              </w:rPr>
            </w:pPr>
            <w:r>
              <w:rPr>
                <w:rFonts w:ascii="Times New Roman" w:hAnsi="Times New Roman" w:eastAsia="仿宋"/>
                <w:szCs w:val="21"/>
              </w:rPr>
              <w:t>—</w:t>
            </w:r>
          </w:p>
        </w:tc>
      </w:tr>
      <w:tr>
        <w:tblPrEx>
          <w:tblCellMar>
            <w:top w:w="0" w:type="dxa"/>
            <w:left w:w="0" w:type="dxa"/>
            <w:bottom w:w="0" w:type="dxa"/>
            <w:right w:w="0" w:type="dxa"/>
          </w:tblCellMar>
        </w:tblPrEx>
        <w:trPr>
          <w:trHeight w:val="409" w:hRule="atLeast"/>
          <w:jc w:val="center"/>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开放</w:t>
            </w:r>
          </w:p>
          <w:p>
            <w:pPr>
              <w:spacing w:line="300" w:lineRule="exact"/>
              <w:jc w:val="center"/>
              <w:textAlignment w:val="center"/>
              <w:rPr>
                <w:rFonts w:ascii="Times New Roman" w:hAnsi="Times New Roman" w:eastAsia="仿宋"/>
                <w:szCs w:val="21"/>
              </w:rPr>
            </w:pPr>
            <w:r>
              <w:rPr>
                <w:rFonts w:ascii="Times New Roman" w:hAnsi="Times New Roman" w:eastAsia="仿宋"/>
                <w:szCs w:val="21"/>
              </w:rPr>
              <w:t>合作</w:t>
            </w:r>
          </w:p>
        </w:tc>
        <w:tc>
          <w:tcPr>
            <w:tcW w:w="1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外贸进出口总额</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1.23亿美元</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1.98亿美元</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1.98亿美元</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10%</w:t>
            </w:r>
          </w:p>
        </w:tc>
      </w:tr>
      <w:tr>
        <w:tblPrEx>
          <w:tblCellMar>
            <w:top w:w="0" w:type="dxa"/>
            <w:left w:w="0" w:type="dxa"/>
            <w:bottom w:w="0" w:type="dxa"/>
            <w:right w:w="0" w:type="dxa"/>
          </w:tblCellMar>
        </w:tblPrEx>
        <w:trPr>
          <w:trHeight w:val="497"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Times New Roman" w:hAnsi="Times New Roman" w:eastAsia="仿宋"/>
                <w:szCs w:val="21"/>
              </w:rPr>
            </w:pPr>
          </w:p>
        </w:tc>
        <w:tc>
          <w:tcPr>
            <w:tcW w:w="1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textAlignment w:val="center"/>
              <w:rPr>
                <w:rFonts w:ascii="Times New Roman" w:hAnsi="Times New Roman" w:eastAsia="仿宋"/>
                <w:szCs w:val="21"/>
              </w:rPr>
            </w:pPr>
            <w:r>
              <w:rPr>
                <w:rFonts w:ascii="Times New Roman" w:hAnsi="Times New Roman" w:eastAsia="仿宋"/>
                <w:szCs w:val="21"/>
              </w:rPr>
              <w:t>利用境外资金（累计）</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1.12亿美元</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rPr>
                <w:rFonts w:ascii="Times New Roman" w:hAnsi="Times New Roman" w:eastAsia="仿宋"/>
                <w:szCs w:val="21"/>
              </w:rPr>
            </w:pPr>
            <w:r>
              <w:rPr>
                <w:rFonts w:ascii="Times New Roman" w:hAnsi="Times New Roman" w:eastAsia="仿宋"/>
                <w:szCs w:val="21"/>
              </w:rPr>
              <w:t>2.05亿美元</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2.27亿美元</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11.85%</w:t>
            </w:r>
          </w:p>
        </w:tc>
      </w:tr>
    </w:tbl>
    <w:p>
      <w:pPr>
        <w:spacing w:line="580" w:lineRule="exact"/>
        <w:rPr>
          <w:rFonts w:ascii="Times New Roman" w:hAnsi="Times New Roman" w:eastAsia="仿宋"/>
          <w:b/>
          <w:bCs/>
          <w:sz w:val="28"/>
          <w:szCs w:val="28"/>
          <w:shd w:val="clear" w:color="auto" w:fill="FFFFFF"/>
        </w:rPr>
      </w:pPr>
      <w:r>
        <w:rPr>
          <w:rFonts w:ascii="Times New Roman" w:hAnsi="Times New Roman" w:eastAsia="仿宋"/>
          <w:b/>
          <w:bCs/>
          <w:sz w:val="28"/>
          <w:szCs w:val="28"/>
          <w:shd w:val="clear" w:color="auto" w:fill="FFFFFF"/>
        </w:rPr>
        <w:t>说明：</w:t>
      </w:r>
    </w:p>
    <w:p>
      <w:pPr>
        <w:spacing w:line="580" w:lineRule="exact"/>
        <w:ind w:firstLine="562" w:firstLineChars="200"/>
        <w:rPr>
          <w:rFonts w:ascii="Times New Roman" w:hAnsi="Times New Roman" w:eastAsia="仿宋"/>
          <w:sz w:val="28"/>
          <w:szCs w:val="28"/>
          <w:shd w:val="clear" w:color="auto" w:fill="FFFFFF"/>
        </w:rPr>
      </w:pPr>
      <w:r>
        <w:rPr>
          <w:rFonts w:ascii="Times New Roman" w:hAnsi="Times New Roman" w:eastAsia="仿宋"/>
          <w:b/>
          <w:bCs/>
          <w:sz w:val="28"/>
          <w:szCs w:val="28"/>
          <w:shd w:val="clear" w:color="auto" w:fill="FFFFFF"/>
        </w:rPr>
        <w:t>1、战略性新兴产业增加值占GDP比重指标：</w:t>
      </w:r>
      <w:r>
        <w:rPr>
          <w:rFonts w:ascii="Times New Roman" w:hAnsi="Times New Roman" w:eastAsia="仿宋"/>
          <w:sz w:val="28"/>
          <w:szCs w:val="28"/>
          <w:shd w:val="clear" w:color="auto" w:fill="FFFFFF"/>
        </w:rPr>
        <w:t>该项指标在区县间并不统计战略性新兴产业增加值这项数据，只统计战略性新兴产业产值和占规上工业产值比重两项指标。</w:t>
      </w:r>
    </w:p>
    <w:p>
      <w:pPr>
        <w:spacing w:line="580" w:lineRule="exact"/>
        <w:ind w:firstLine="562" w:firstLineChars="200"/>
        <w:rPr>
          <w:rFonts w:ascii="Times New Roman" w:hAnsi="Times New Roman" w:eastAsia="仿宋"/>
          <w:sz w:val="28"/>
          <w:szCs w:val="28"/>
          <w:shd w:val="clear" w:color="auto" w:fill="FFFFFF"/>
        </w:rPr>
      </w:pPr>
      <w:r>
        <w:rPr>
          <w:rFonts w:ascii="Times New Roman" w:hAnsi="Times New Roman" w:eastAsia="仿宋"/>
          <w:b/>
          <w:bCs/>
          <w:sz w:val="28"/>
          <w:szCs w:val="28"/>
          <w:shd w:val="clear" w:color="auto" w:fill="FFFFFF"/>
        </w:rPr>
        <w:t>2、户籍人口城镇化率指标：</w:t>
      </w:r>
      <w:r>
        <w:rPr>
          <w:rFonts w:ascii="Times New Roman" w:hAnsi="Times New Roman" w:eastAsia="仿宋"/>
          <w:sz w:val="28"/>
          <w:szCs w:val="28"/>
          <w:shd w:val="clear" w:color="auto" w:fill="FFFFFF"/>
        </w:rPr>
        <w:t>原该指标由住建部门统计，后调整至统计部门，统计口径变化。2020年城镇化率为42.5%。</w:t>
      </w:r>
    </w:p>
    <w:p>
      <w:pPr>
        <w:spacing w:line="580" w:lineRule="exact"/>
        <w:ind w:firstLine="562" w:firstLineChars="200"/>
        <w:rPr>
          <w:rFonts w:ascii="Times New Roman" w:hAnsi="Times New Roman" w:eastAsia="仿宋"/>
          <w:sz w:val="28"/>
          <w:szCs w:val="28"/>
          <w:shd w:val="clear" w:color="auto" w:fill="FFFFFF"/>
        </w:rPr>
      </w:pPr>
      <w:r>
        <w:rPr>
          <w:rFonts w:ascii="Times New Roman" w:hAnsi="Times New Roman" w:eastAsia="仿宋"/>
          <w:b/>
          <w:bCs/>
          <w:sz w:val="28"/>
          <w:szCs w:val="28"/>
          <w:shd w:val="clear" w:color="auto" w:fill="FFFFFF"/>
        </w:rPr>
        <w:t>3、环境空气质量二级及以上天数指标：</w:t>
      </w:r>
      <w:r>
        <w:rPr>
          <w:rFonts w:ascii="Times New Roman" w:hAnsi="Times New Roman" w:eastAsia="仿宋"/>
          <w:sz w:val="28"/>
          <w:szCs w:val="28"/>
          <w:shd w:val="clear" w:color="auto" w:fill="FFFFFF"/>
        </w:rPr>
        <w:t>已调整环境空气质量优良天数指标，根据市反馈情况我区每年均达到市控目标。</w:t>
      </w:r>
    </w:p>
    <w:p>
      <w:pPr>
        <w:pStyle w:val="11"/>
        <w:ind w:firstLine="280"/>
        <w:rPr>
          <w:rFonts w:ascii="Times New Roman" w:hAnsi="Times New Roman" w:eastAsia="仿宋"/>
          <w:sz w:val="28"/>
          <w:szCs w:val="28"/>
          <w:shd w:val="clear" w:color="auto" w:fill="FFFFFF"/>
        </w:rPr>
      </w:pPr>
    </w:p>
    <w:p>
      <w:pPr>
        <w:pStyle w:val="11"/>
        <w:ind w:firstLine="280"/>
        <w:rPr>
          <w:rFonts w:ascii="Times New Roman" w:hAnsi="Times New Roman" w:eastAsia="仿宋"/>
          <w:sz w:val="28"/>
          <w:szCs w:val="28"/>
          <w:shd w:val="clear" w:color="auto" w:fill="FFFFFF"/>
        </w:rPr>
      </w:pPr>
    </w:p>
    <w:p>
      <w:pPr>
        <w:pStyle w:val="11"/>
        <w:ind w:firstLine="280"/>
        <w:rPr>
          <w:rFonts w:ascii="Times New Roman" w:hAnsi="Times New Roman" w:eastAsia="仿宋"/>
          <w:sz w:val="28"/>
          <w:szCs w:val="28"/>
          <w:shd w:val="clear" w:color="auto" w:fill="FFFFFF"/>
        </w:rPr>
      </w:pPr>
    </w:p>
    <w:p>
      <w:pPr>
        <w:pStyle w:val="11"/>
        <w:ind w:firstLine="280"/>
        <w:rPr>
          <w:rFonts w:ascii="Times New Roman" w:hAnsi="Times New Roman" w:eastAsia="仿宋"/>
          <w:sz w:val="28"/>
          <w:szCs w:val="28"/>
          <w:shd w:val="clear" w:color="auto" w:fill="FFFFFF"/>
        </w:rPr>
      </w:pPr>
    </w:p>
    <w:p>
      <w:pPr>
        <w:pStyle w:val="11"/>
        <w:ind w:firstLine="280"/>
        <w:rPr>
          <w:rFonts w:ascii="Times New Roman" w:hAnsi="Times New Roman" w:eastAsia="仿宋"/>
          <w:sz w:val="28"/>
          <w:szCs w:val="28"/>
          <w:shd w:val="clear" w:color="auto" w:fill="FFFFFF"/>
        </w:rPr>
      </w:pPr>
    </w:p>
    <w:p>
      <w:pPr>
        <w:pStyle w:val="11"/>
        <w:ind w:firstLine="280"/>
        <w:rPr>
          <w:rFonts w:ascii="Times New Roman" w:hAnsi="Times New Roman" w:eastAsia="仿宋"/>
          <w:sz w:val="28"/>
          <w:szCs w:val="28"/>
          <w:shd w:val="clear" w:color="auto" w:fill="FFFFFF"/>
        </w:rPr>
      </w:pPr>
    </w:p>
    <w:p>
      <w:pPr>
        <w:pStyle w:val="3"/>
        <w:snapToGrid w:val="0"/>
        <w:spacing w:line="240" w:lineRule="auto"/>
        <w:jc w:val="center"/>
        <w:rPr>
          <w:rFonts w:ascii="Times New Roman" w:hAnsi="Times New Roman" w:eastAsia="楷体_GB2312"/>
          <w:sz w:val="36"/>
          <w:szCs w:val="36"/>
        </w:rPr>
      </w:pPr>
      <w:bookmarkStart w:id="4" w:name="_Toc12076"/>
      <w:r>
        <w:rPr>
          <w:rFonts w:ascii="Times New Roman" w:hAnsi="Times New Roman" w:eastAsia="楷体_GB2312"/>
          <w:sz w:val="36"/>
          <w:szCs w:val="36"/>
        </w:rPr>
        <w:t>第二节  进入加快建设富裕和谐美丽现代化新徽州</w:t>
      </w:r>
    </w:p>
    <w:p>
      <w:pPr>
        <w:pStyle w:val="3"/>
        <w:snapToGrid w:val="0"/>
        <w:spacing w:line="240" w:lineRule="auto"/>
        <w:jc w:val="center"/>
        <w:rPr>
          <w:rFonts w:ascii="Times New Roman" w:hAnsi="Times New Roman" w:eastAsia="楷体_GB2312"/>
          <w:sz w:val="36"/>
          <w:szCs w:val="36"/>
        </w:rPr>
      </w:pPr>
      <w:r>
        <w:rPr>
          <w:rFonts w:ascii="Times New Roman" w:hAnsi="Times New Roman" w:eastAsia="楷体_GB2312"/>
          <w:sz w:val="36"/>
          <w:szCs w:val="36"/>
        </w:rPr>
        <w:t>的新发展阶段</w:t>
      </w:r>
      <w:bookmarkEnd w:id="4"/>
    </w:p>
    <w:p>
      <w:pPr>
        <w:ind w:firstLine="640" w:firstLineChars="200"/>
        <w:rPr>
          <w:rFonts w:ascii="Times New Roman" w:hAnsi="Times New Roman" w:eastAsia="仿宋_GB2312"/>
          <w:sz w:val="32"/>
          <w:szCs w:val="32"/>
        </w:rPr>
      </w:pPr>
      <w:r>
        <w:rPr>
          <w:rFonts w:ascii="Times New Roman" w:hAnsi="Times New Roman" w:eastAsia="仿宋_GB2312"/>
          <w:sz w:val="32"/>
          <w:szCs w:val="32"/>
        </w:rPr>
        <w:t>当前，世界正在经历百年未有之大变局，新冠肺炎疫情全球大流行使得这个大变局加速演变，国际环境日趋复杂，不稳定不确定因素明显增加。面对更多逆风逆水的外部环境，必须做好应对一系列新的风险挑战的准备。</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“十四五”时期是我国全面建成小康社会、实现第一个百年奋斗目标之后，乘势而上开启全面建设社会主义现代化国家新征程、向第二个百年奋斗目标进军的第一个五年。我国</w:t>
      </w:r>
      <w:r>
        <w:rPr>
          <w:rFonts w:hint="eastAsia" w:ascii="Times New Roman" w:hAnsi="Times New Roman" w:eastAsia="仿宋_GB2312"/>
          <w:sz w:val="32"/>
          <w:szCs w:val="32"/>
        </w:rPr>
        <w:t>已</w:t>
      </w:r>
      <w:r>
        <w:rPr>
          <w:rFonts w:ascii="Times New Roman" w:hAnsi="Times New Roman" w:eastAsia="仿宋_GB2312"/>
          <w:sz w:val="32"/>
          <w:szCs w:val="32"/>
        </w:rPr>
        <w:t>转向高质量发展阶段，国家加快构建以国内大循环为主体、国内国际双循环相互促进的新发展格局，我区发展面临服务全国构建新发展格</w:t>
      </w:r>
      <w:r>
        <w:rPr>
          <w:rFonts w:hint="eastAsia" w:ascii="Times New Roman" w:hAnsi="Times New Roman" w:eastAsia="仿宋_GB2312"/>
          <w:sz w:val="32"/>
          <w:szCs w:val="32"/>
        </w:rPr>
        <w:t>局</w:t>
      </w:r>
      <w:r>
        <w:rPr>
          <w:rFonts w:ascii="Times New Roman" w:hAnsi="Times New Roman" w:eastAsia="仿宋_GB2312"/>
          <w:sz w:val="32"/>
          <w:szCs w:val="32"/>
        </w:rPr>
        <w:t>的新机遇，有利于我区发挥区位交通、产业基础、生态资源优势，积极融入商品和要素循环畅通的巨大引力场，激发内需潜力，不断完善产业链供应链布局，培育新的增长点；国家大力推进长三角一体化发展、共建“一带一路”、长江经济带发展、促进中部地区加快崛起，我省作为创新大省、制造强省的优势进一步凸显，特别是我市作为安徽第二个“米字型”高铁城市，黄千高速、杭临黄高铁以及黄山机场迁建等重大项目稳步推进，近期我市跻身杭州都市圈副中心城市，加快打造杭黄世界级自然生态和文化旅游廊道、参加G60科创走廊建设，围绕5大产业链18个重点产业坚定推进兴市，我区发展面临重大战略叠加效应持续释放的新机遇，有利于我区在参与长三角一体化发展和“融杭接沪”中充分利用广阔的战略纵深，在新一轮高水平对外开放和区域合作中提升发展位势、增强发展能级，依托多层次承接产业转移平台吸引发达地区资本和新兴产业布局，加快传统产业转型升级，加快建设现代产业体系。</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同时也要清醒看</w:t>
      </w:r>
      <w:r>
        <w:rPr>
          <w:rFonts w:hint="eastAsia" w:ascii="Times New Roman" w:hAnsi="Times New Roman" w:eastAsia="仿宋_GB2312"/>
          <w:sz w:val="32"/>
          <w:szCs w:val="32"/>
        </w:rPr>
        <w:t>到</w:t>
      </w:r>
      <w:r>
        <w:rPr>
          <w:rFonts w:ascii="Times New Roman" w:hAnsi="Times New Roman" w:eastAsia="仿宋_GB2312"/>
          <w:sz w:val="32"/>
          <w:szCs w:val="32"/>
        </w:rPr>
        <w:t>，我区发展不平衡不充分问题仍然突出，工业“四基”水平不能很好适应高质量发展要求，创新支撑不足；现代服务业层次不高、结构不优、总量偏小，功能服务业态不够丰富；现代农业发展水平不高，发展基础还相对薄弱；中心城区建设和城乡统筹还不够均衡，城市治理水平还需提高；生态环保任务艰巨，瓶颈制约要素相对凸显；财政收支矛盾较为突出，改革创新步伐不快，民生保障还有弱项，社会综合治理还有短板</w:t>
      </w:r>
      <w:r>
        <w:rPr>
          <w:rFonts w:hint="eastAsia" w:ascii="Times New Roman" w:hAnsi="Times New Roman" w:eastAsia="仿宋_GB2312"/>
          <w:sz w:val="32"/>
          <w:szCs w:val="32"/>
        </w:rPr>
        <w:t>；</w:t>
      </w:r>
      <w:r>
        <w:rPr>
          <w:rFonts w:ascii="Times New Roman" w:hAnsi="Times New Roman" w:eastAsia="仿宋_GB2312"/>
          <w:sz w:val="32"/>
          <w:szCs w:val="32"/>
        </w:rPr>
        <w:t>干部创新意识有待提高，企业驾驭市场能力、抵御市场风险、浓厚创新创业氛围仍需不断提高提升。</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总的来说，我区发展仍处于重要战略机遇期，但机遇和挑战都有新的发展变化。必须胸怀两个大局，深刻认识新发展阶段带来的新方位新机遇，深刻认识错综复杂的国际环境带来的新矛盾新挑战，深刻认识我区发展面临的新形势新任务，增强机遇意识和风险意识，保持战略定力，把握发展规律，准确识变、科学应变、主动求变，善于在危机中育先机、于变局中开新局，在主动融入新发展格局中奋勇前进，推进建设创新集聚、产业强劲的宜居宜业宜游的现代化城市新区。</w:t>
      </w:r>
    </w:p>
    <w:p>
      <w:pPr>
        <w:pStyle w:val="3"/>
        <w:jc w:val="center"/>
        <w:rPr>
          <w:rFonts w:ascii="Times New Roman" w:hAnsi="Times New Roman" w:eastAsia="楷体_GB2312"/>
          <w:sz w:val="36"/>
          <w:szCs w:val="36"/>
        </w:rPr>
      </w:pPr>
      <w:bookmarkStart w:id="5" w:name="_Toc3924"/>
      <w:r>
        <w:rPr>
          <w:rFonts w:ascii="Times New Roman" w:hAnsi="Times New Roman" w:eastAsia="楷体_GB2312"/>
          <w:sz w:val="36"/>
          <w:szCs w:val="36"/>
        </w:rPr>
        <w:t>第三节  指导思想</w:t>
      </w:r>
      <w:bookmarkEnd w:id="5"/>
    </w:p>
    <w:p>
      <w:pPr>
        <w:ind w:firstLine="640" w:firstLineChars="200"/>
        <w:rPr>
          <w:rFonts w:ascii="Times New Roman" w:hAnsi="Times New Roman" w:eastAsia="仿宋_GB2312"/>
          <w:sz w:val="32"/>
          <w:szCs w:val="32"/>
        </w:rPr>
      </w:pPr>
      <w:r>
        <w:rPr>
          <w:rFonts w:ascii="Times New Roman" w:hAnsi="Times New Roman" w:eastAsia="仿宋_GB2312"/>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认真贯彻习近平总书记考察安徽重要讲话指示精神，全面贯彻党的基本理论、基本路线、基本方略，统筹推进经济建设、政治建设、文化建设、社会建设、生态文明建设的总体布局，协调推进全面建设社会主义现代化国家、全面深化改革、全面依法治国、全面从严治党的战略布局，科学把握新发展阶段，坚决贯彻新发展理念，服务构建新发展格局，坚持稳中求进工作总基调，以推动高质量发展为主题，以深化供给侧结构性改革为主线，以改革创新为根本动力，以满足人民日益增长的美好生活需要为根本目的，更好统筹发展和安全，持续实施五大发展行动，扎实推进长三角一体化发展，大力实施工业强区、产业兴区、文旅名区、开放活区、城乡融合“五大战略”，加快建设现代化经济体系，实现经济行稳致远、社会安定和谐，在构建以国内大循环为主体、国内国际双循环相互促进的新发展格局中实现更大作为，在加快建设富裕和谐美丽现代化新徽州上取得新的更大进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——工业强区战略</w:t>
      </w:r>
      <w:r>
        <w:rPr>
          <w:rFonts w:ascii="Times New Roman" w:hAnsi="Times New Roman" w:eastAsia="仿宋_GB2312"/>
          <w:sz w:val="32"/>
          <w:szCs w:val="32"/>
        </w:rPr>
        <w:t>。坚持工业强区不动摇，把做实做强做优实体经济作为主攻方向，以新型工业化为统领，强化创新驱动，树立园区亩均效益理念，聚焦新材料、智能制造、绿色食品三大工业主导产业，深入推进传统产业转型升级，培育壮大战略性新兴产业，建设创新高效园区，加速形成工业竞争新优势、企业发展新动能，推动全区工业经济从量的增长向质的提升转变。</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——产业兴区战略。</w:t>
      </w:r>
      <w:r>
        <w:rPr>
          <w:rFonts w:ascii="Times New Roman" w:hAnsi="Times New Roman" w:eastAsia="仿宋_GB2312"/>
          <w:sz w:val="32"/>
          <w:szCs w:val="32"/>
        </w:rPr>
        <w:t>突出以业建城、以城兴业、产城融合，以持续做大做强工业为牵引，同步大力发展配套生产性服务业和生活性服务业，科学规划城市产业功能区，大力发展仓储、物流、房产、商贸、电商、金融、旅游、教育、文化、餐饮、中介等业态，进一步聚人气、增活力，促进区域经济兴旺繁荣。</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——文旅名区战略。</w:t>
      </w:r>
      <w:r>
        <w:rPr>
          <w:rFonts w:ascii="Times New Roman" w:hAnsi="Times New Roman" w:eastAsia="仿宋_GB2312"/>
          <w:sz w:val="32"/>
          <w:szCs w:val="32"/>
        </w:rPr>
        <w:t>深入挖掘和整合优质的自然生态和人文历史资源，坚持全域化发展思路，大力推进“旅游+”，巩固提升现有景区品质，加强特色小镇、美丽经济业态植入，深化徽州文化生态保护区创建成效，推动自然生态和文化资源优势转化为产业发展优势，打造全新的文旅农体融合一体化产业链。</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——开放活区战略。</w:t>
      </w:r>
      <w:r>
        <w:rPr>
          <w:rFonts w:ascii="Times New Roman" w:hAnsi="Times New Roman" w:eastAsia="仿宋_GB2312"/>
          <w:sz w:val="32"/>
          <w:szCs w:val="32"/>
        </w:rPr>
        <w:t>坚持解放思想，打破惯性思维，以开放促改革、促发展、促创新，持续加强与沪苏浙和省内先进发达地区的协同发展，促进思想观念、政策体系、营商环境、工作作风等方面等高对接，努力在长三角一体化和“融杭接沪”中获取强劲发展动能，打造长三角高质量一体化发展先行区。</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——城乡融合战略。</w:t>
      </w:r>
      <w:r>
        <w:rPr>
          <w:rFonts w:ascii="Times New Roman" w:hAnsi="Times New Roman" w:eastAsia="仿宋_GB2312"/>
          <w:sz w:val="32"/>
          <w:szCs w:val="32"/>
        </w:rPr>
        <w:t>坚持推进以人为核心的新型城镇化，一体推进城市更新和乡村建设行动，加快城镇基础设施和公共服务设施现代化，强化中心城区带动辐射能力，提升岩寺中心城区和建制镇互联互通水平，推进农村基础设施提档升级，打通乡村发展外部循环，加快形成工农互促、城乡互补、协调发展、共同繁荣的新型工农城乡关系。</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为贯彻上述指导思想和落实“五大战略”，必须遵循以下原则：</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——坚持党的全面领导。</w:t>
      </w:r>
      <w:r>
        <w:rPr>
          <w:rFonts w:ascii="Times New Roman" w:hAnsi="Times New Roman" w:eastAsia="仿宋_GB2312"/>
          <w:sz w:val="32"/>
          <w:szCs w:val="32"/>
        </w:rPr>
        <w:t>坚持和完善党领导经济社会发展的体制机制，坚持和完善中国特色社会主义制度，坚决贯彻中央和省委、市委决策部署，不断提高贯彻新发展理念、构建新发展格局的能力和水平，为新阶段加快建设富裕和谐美丽现代化新徽州提供根本保证。</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——坚持以人民为中心。</w:t>
      </w:r>
      <w:r>
        <w:rPr>
          <w:rFonts w:ascii="Times New Roman" w:hAnsi="Times New Roman" w:eastAsia="仿宋_GB2312"/>
          <w:sz w:val="32"/>
          <w:szCs w:val="32"/>
        </w:rPr>
        <w:t>坚持人民主体地位，坚持共同富裕方向，始终做到发展为了人民、发展依靠人民、发展成果由人民共享，维护人民根本利益，激发全区人民积极性、主动性、创造性，促进社会公平，增进民生福祉，不断实现人民对美好生活的向往。</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——坚持新发展理念。</w:t>
      </w:r>
      <w:r>
        <w:rPr>
          <w:rFonts w:ascii="Times New Roman" w:hAnsi="Times New Roman" w:eastAsia="仿宋_GB2312"/>
          <w:sz w:val="32"/>
          <w:szCs w:val="32"/>
        </w:rPr>
        <w:t>把新发展理念贯穿徽州区发展全过程和各领域，服务全国构建新发展格局，聚焦一体化和高质量，切实转变发展方式，深化创新型徽州建设，持续推动质量变革、效率变革、动力变革，努力实现更高质量、更有效率、更加公平、更可持续、更为安全的发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——坚持生态优先绿色发展。</w:t>
      </w:r>
      <w:r>
        <w:rPr>
          <w:rFonts w:ascii="Times New Roman" w:hAnsi="Times New Roman" w:eastAsia="仿宋_GB2312"/>
          <w:sz w:val="32"/>
          <w:szCs w:val="32"/>
        </w:rPr>
        <w:t>牢固树立绿水青山就是金山银山理念，始终把生态保护放在压倒性位置，弘扬绿色文明风尚，打造绿色生态环境，构筑绿色产业体系，持续推动生态资源优势转化利用，坚定不移走生产发展、生活富裕、生态良好的绿色发展之路。</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——坚持深化改革开放</w:t>
      </w:r>
      <w:r>
        <w:rPr>
          <w:rFonts w:ascii="Times New Roman" w:hAnsi="Times New Roman" w:eastAsia="仿宋_GB2312"/>
          <w:sz w:val="32"/>
          <w:szCs w:val="32"/>
        </w:rPr>
        <w:t>。坚定不移推进改革，坚定不移扩大开放，主动服务融入国家区域重大战略，积极探索总结改革经验，加强社会治理体系和治理能力现代化建设，破除制约高质量发展、高品质生活的体制机制障碍，强化有利于提高资源配置效率、有利于调动全社会积极性的重大改革开放举措，持续增强发展动力和活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——坚持系统观念。</w:t>
      </w:r>
      <w:r>
        <w:rPr>
          <w:rFonts w:ascii="Times New Roman" w:hAnsi="Times New Roman" w:eastAsia="仿宋_GB2312"/>
          <w:sz w:val="32"/>
          <w:szCs w:val="32"/>
        </w:rPr>
        <w:t>加强前瞻性思考、全局性谋划、战略性布局、整体性推进，统筹国内国际两个大局，办好发展安全两件大事，深度融入长三角一体化，着力固根基、扬优势、补短板、强弱项，注重防范化解重大风险挑战，实现发展质量、结构、规模、速度、效益、安全相统一。</w:t>
      </w:r>
    </w:p>
    <w:p>
      <w:pPr>
        <w:pStyle w:val="3"/>
        <w:jc w:val="center"/>
        <w:rPr>
          <w:rFonts w:ascii="Times New Roman" w:hAnsi="Times New Roman" w:eastAsia="楷体_GB2312"/>
          <w:sz w:val="36"/>
          <w:szCs w:val="36"/>
        </w:rPr>
      </w:pPr>
      <w:bookmarkStart w:id="6" w:name="_Toc10518"/>
      <w:r>
        <w:rPr>
          <w:rFonts w:ascii="Times New Roman" w:hAnsi="Times New Roman" w:eastAsia="楷体_GB2312"/>
          <w:sz w:val="36"/>
          <w:szCs w:val="36"/>
        </w:rPr>
        <w:t>第四节 主要目标</w:t>
      </w:r>
      <w:bookmarkEnd w:id="6"/>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2035年远景目标。</w:t>
      </w:r>
      <w:r>
        <w:rPr>
          <w:rFonts w:ascii="Times New Roman" w:hAnsi="Times New Roman" w:eastAsia="仿宋_GB2312"/>
          <w:sz w:val="32"/>
          <w:szCs w:val="32"/>
        </w:rPr>
        <w:t>根据党的十九大对实现第二个百年奋斗目标作出分两个阶段推进的战略安排，按照省委“一建设三同步”和黄山市提出的“全面建成美丽黄山、富裕黄山、文明黄山”决策部署要求，展望2035年，我区经济实力、创新能力、综合实力迈上新台阶，人均主要经济指标位居全省前列，力争经济总量较2025年翻一番以上、人均地区生产总值达到长三角平均水平；区域创新能力显著提升，基本实现新型工业化、信息化、城镇化、农业现代化“新四化”，工业经济、旅游经济、数字经济、农业经济蓬勃发展，建成现代化经济体系；协调发展实现新进步，城市更现代、更宜居，乡村更精致、更美丽，基本公共服务实现均等化，城乡居民人均收入增长快于经济增长，中等收入群体显著扩大，人民基本生活保障水平与长三角平均水平大体相当；社会文明程度达到新高度，建成创新型文化强区和教育强区、人才强区、健康徽州，文化软实力显著增强；全面绿色转型形成新示范，广泛形成绿色生产生活方式，生态环境根本好转，绿色徽州美好家园建设目标基本实施；对外开放程度显著提升，营商环境位居全国全省前列，与沪苏浙一体化发展机制更加紧密高效；治理体系和治理能力现代化实现新提升，平安徽州建设达到更高水平，建成“人人有责、人人尽责、人人享有”的社会治理共同体；人民生活更加美好，人的全面发展、全体人民共同富裕取得更加明显的实质性进展，人民群众获得感幸福感安全感位居省市前列。</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“十四五”主要目标。</w:t>
      </w:r>
      <w:r>
        <w:rPr>
          <w:rFonts w:ascii="Times New Roman" w:hAnsi="Times New Roman" w:eastAsia="仿宋_GB2312"/>
          <w:sz w:val="32"/>
          <w:szCs w:val="32"/>
        </w:rPr>
        <w:t>锚定2035年远景目标，贯彻习近平总书记考察安徽提出的强化“两个坚持”、实现“两个更大”目标要求，落实省委、市委决策部署，综合考虑未来发展趋势和条件，加快打造具有重要影响力的工业发展排头兵、新兴产业集聚地、绿色发展先行区、改革开放新窗口、美丽现代新城区，坚定地朝着经济强、百姓富、生态美的新阶段富裕和谐美丽现代化新徽州进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——综合实力迈上新台阶。</w:t>
      </w:r>
      <w:r>
        <w:rPr>
          <w:rFonts w:ascii="Times New Roman" w:hAnsi="Times New Roman" w:eastAsia="仿宋_GB2312"/>
          <w:sz w:val="32"/>
          <w:szCs w:val="32"/>
        </w:rPr>
        <w:t>增长潜力充分发挥，高质量发展走在省市前列，各项主要经济指标增速“超过全市水平、走在全市前列”，地区经济总量进入全市前列，地区生产总值、财政收入等人均主要经济指标在全省靠前，全区综合实力和竞争力进一步提高，发展的质量效益进一步提升。</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——构建新发展格局实现新作为</w:t>
      </w:r>
      <w:r>
        <w:rPr>
          <w:rFonts w:ascii="Times New Roman" w:hAnsi="Times New Roman" w:eastAsia="仿宋_GB2312"/>
          <w:sz w:val="32"/>
          <w:szCs w:val="32"/>
        </w:rPr>
        <w:t>。“两新一重”建设加快推进，长三角区域重要交通枢纽节点优势更加明显，新产业新业态进一步优化布局，配套物流体系初具规模，区域消费市场更加活跃，对外贸易结构进一步优化，产业循环、市场循环、经济社会循环更加顺畅。</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——现代产业体系展现新格局。</w:t>
      </w:r>
      <w:r>
        <w:rPr>
          <w:rFonts w:ascii="Times New Roman" w:hAnsi="Times New Roman" w:eastAsia="仿宋_GB2312"/>
          <w:sz w:val="32"/>
          <w:szCs w:val="32"/>
        </w:rPr>
        <w:t>三次产业及其内部结构进一步优化，工业经济向中高端大步迈进，新兴产业加快发展，精致农业取得突破，第三产业占地区生产总值比重明显上升，数字经济加快成长，区域综合创新能力显著增强，初步建立现代产业体系，打造具有重要影响力和竞争力的省级经济开发区、省级现代服务业产业集聚区和长三角绿色农产品生产加工供应基地。</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——一体化发展实现新突破。</w:t>
      </w:r>
      <w:r>
        <w:rPr>
          <w:rFonts w:ascii="Times New Roman" w:hAnsi="Times New Roman" w:eastAsia="仿宋_GB2312"/>
          <w:sz w:val="32"/>
          <w:szCs w:val="32"/>
        </w:rPr>
        <w:t>紧扣一体化和高质量两个关键词，深入参与长三角一体化发展，以“融杭接沪”为先导，密切对接沪苏浙思想观念、体制机制、政策环境等，在资源共享、产业合作、科技创新、民生共享等方面取得显著进展，成为长三角地区具有较强位势的重要一员。</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——改革开放迈出新步伐。</w:t>
      </w:r>
      <w:r>
        <w:rPr>
          <w:rFonts w:ascii="Times New Roman" w:hAnsi="Times New Roman" w:eastAsia="仿宋_GB2312"/>
          <w:sz w:val="32"/>
          <w:szCs w:val="32"/>
        </w:rPr>
        <w:t>全面深化改革纵深推进，各项改革部署全面落实，政务服务效能进一步提升，营商环境更加优化，开放发展水平显著提高，形成一批在省市有影响力的改革品牌和改革成果，积累一批“徽州经验”。</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——城乡建设实现新进展。</w:t>
      </w:r>
      <w:r>
        <w:rPr>
          <w:rFonts w:ascii="Times New Roman" w:hAnsi="Times New Roman" w:eastAsia="仿宋_GB2312"/>
          <w:sz w:val="32"/>
          <w:szCs w:val="32"/>
        </w:rPr>
        <w:t>国土空间布局明显优化，城市框架进一步拓展、功能配套进一步完善、管理水平进一步提高，乡村振兴战略全面推进，特色小镇建设取得明显成效，美丽乡村建设和人居环境整治保持省市前列。</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——社会文明程度实现新提高。</w:t>
      </w:r>
      <w:r>
        <w:rPr>
          <w:rFonts w:ascii="Times New Roman" w:hAnsi="Times New Roman" w:eastAsia="仿宋_GB2312"/>
          <w:sz w:val="32"/>
          <w:szCs w:val="32"/>
        </w:rPr>
        <w:t>社会主义核心价值观深入人心，人民思想道德素质、科学文化素质和身心健康素质明显提高，公共文化服务体系和文化产业体系更加健全，人民精神文化生活日益丰富，徽州传统文化和红色文化传承弘扬取得更大进展，全国文明城市和国家新时代文明实践中心建设成效得到持续巩固。</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——生态文明建设取得新成效。</w:t>
      </w:r>
      <w:r>
        <w:rPr>
          <w:rFonts w:ascii="Times New Roman" w:hAnsi="Times New Roman" w:eastAsia="仿宋_GB2312"/>
          <w:sz w:val="32"/>
          <w:szCs w:val="32"/>
        </w:rPr>
        <w:t>国土空间开发保护格局得到优化，绿色发展理念深入人心，生产生活方式绿色转型成效显著，主要污染物排放总量持续减少，能源资源配置更加合理、利用效率大幅提高，水、空气等环境指标继续保持全国领先水平，城乡人居环境明显改善，新安江生态补偿试验区、生态经济示范区建设取得新成效。</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——群众生活品质得到新改善。</w:t>
      </w:r>
      <w:r>
        <w:rPr>
          <w:rFonts w:ascii="Times New Roman" w:hAnsi="Times New Roman" w:eastAsia="仿宋_GB2312"/>
          <w:sz w:val="32"/>
          <w:szCs w:val="32"/>
        </w:rPr>
        <w:t>民生投入力度持续加大，居民收入增长高于经济增长，城乡居民收入差距进一步缩小、人均可支配收入超过全省平均水平。就业更加充分更高质量，基本公共服务均等化水平明显提高，社会保障体系更加健全，脱贫攻坚成果巩固拓展，教育教学、卫生健康等民生事业取得长足发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——社会治理效能得到新提升。</w:t>
      </w:r>
      <w:r>
        <w:rPr>
          <w:rFonts w:ascii="Times New Roman" w:hAnsi="Times New Roman" w:eastAsia="仿宋_GB2312"/>
          <w:sz w:val="32"/>
          <w:szCs w:val="32"/>
        </w:rPr>
        <w:t>全面依法治区深入推进，法治徽州、法治政府、法治社会建设取得新进展，社会公平正义进一步彰显，政府行政效率和公信力显著提升，社会治理特别是基层治理水平明显提高，防范化解重大风险体制机制不断健全，突发公共事件应急能力显著增强，自然灾害防御水平明显提升，统筹发展和安全更加有力，平安徽州建设走在省市前列。</w:t>
      </w: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4"/>
        <w:jc w:val="center"/>
        <w:rPr>
          <w:rFonts w:ascii="Times New Roman" w:hAnsi="Times New Roman"/>
          <w:b/>
          <w:bCs/>
          <w:color w:val="auto"/>
          <w:sz w:val="32"/>
          <w:szCs w:val="32"/>
        </w:rPr>
      </w:pPr>
      <w:bookmarkStart w:id="7" w:name="_Toc7439"/>
      <w:r>
        <w:rPr>
          <w:rFonts w:ascii="Times New Roman" w:hAnsi="Times New Roman"/>
          <w:b/>
          <w:bCs/>
          <w:color w:val="auto"/>
          <w:sz w:val="32"/>
          <w:szCs w:val="32"/>
        </w:rPr>
        <w:t>专栏2  徽州区“十四五”经济社会发展主要目标</w:t>
      </w:r>
      <w:bookmarkEnd w:id="7"/>
    </w:p>
    <w:tbl>
      <w:tblPr>
        <w:tblStyle w:val="12"/>
        <w:tblW w:w="51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74"/>
        <w:gridCol w:w="1020"/>
        <w:gridCol w:w="1408"/>
        <w:gridCol w:w="1480"/>
        <w:gridCol w:w="1186"/>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556" w:type="pct"/>
            <w:noWrap/>
            <w:tcMar>
              <w:top w:w="10" w:type="dxa"/>
              <w:left w:w="10" w:type="dxa"/>
              <w:right w:w="10" w:type="dxa"/>
            </w:tcMar>
            <w:vAlign w:val="center"/>
          </w:tcPr>
          <w:p>
            <w:pPr>
              <w:spacing w:line="300" w:lineRule="exact"/>
              <w:jc w:val="center"/>
              <w:textAlignment w:val="center"/>
              <w:rPr>
                <w:rFonts w:ascii="Times New Roman" w:hAnsi="Times New Roman" w:eastAsia="黑体"/>
                <w:szCs w:val="21"/>
              </w:rPr>
            </w:pPr>
            <w:r>
              <w:rPr>
                <w:rFonts w:ascii="Times New Roman" w:hAnsi="Times New Roman" w:eastAsia="黑体"/>
                <w:szCs w:val="21"/>
              </w:rPr>
              <w:t>指标名称</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黑体"/>
                <w:szCs w:val="21"/>
              </w:rPr>
            </w:pPr>
            <w:r>
              <w:rPr>
                <w:rFonts w:ascii="Times New Roman" w:hAnsi="Times New Roman" w:eastAsia="黑体"/>
                <w:szCs w:val="21"/>
              </w:rPr>
              <w:t>单位</w:t>
            </w:r>
          </w:p>
        </w:tc>
        <w:tc>
          <w:tcPr>
            <w:tcW w:w="790" w:type="pct"/>
            <w:vAlign w:val="center"/>
          </w:tcPr>
          <w:p>
            <w:pPr>
              <w:spacing w:line="300" w:lineRule="exact"/>
              <w:jc w:val="center"/>
              <w:textAlignment w:val="center"/>
              <w:rPr>
                <w:rFonts w:ascii="Times New Roman" w:hAnsi="Times New Roman" w:eastAsia="黑体"/>
                <w:szCs w:val="21"/>
              </w:rPr>
            </w:pPr>
            <w:r>
              <w:rPr>
                <w:rFonts w:ascii="Times New Roman" w:hAnsi="Times New Roman" w:eastAsia="黑体"/>
                <w:szCs w:val="21"/>
              </w:rPr>
              <w:t>2020年</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黑体"/>
                <w:szCs w:val="21"/>
              </w:rPr>
            </w:pPr>
            <w:r>
              <w:rPr>
                <w:rFonts w:ascii="Times New Roman" w:hAnsi="Times New Roman" w:eastAsia="黑体"/>
                <w:szCs w:val="21"/>
              </w:rPr>
              <w:t>2025年目标</w:t>
            </w:r>
          </w:p>
        </w:tc>
        <w:tc>
          <w:tcPr>
            <w:tcW w:w="665" w:type="pct"/>
            <w:vAlign w:val="center"/>
          </w:tcPr>
          <w:p>
            <w:pPr>
              <w:spacing w:line="300" w:lineRule="exact"/>
              <w:jc w:val="center"/>
              <w:textAlignment w:val="center"/>
              <w:rPr>
                <w:rFonts w:ascii="Times New Roman" w:hAnsi="Times New Roman" w:eastAsia="黑体"/>
                <w:szCs w:val="21"/>
              </w:rPr>
            </w:pPr>
            <w:r>
              <w:rPr>
                <w:rFonts w:ascii="Times New Roman" w:hAnsi="Times New Roman" w:eastAsia="黑体"/>
                <w:szCs w:val="21"/>
              </w:rPr>
              <w:t>“十四五”年均增长</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黑体"/>
                <w:szCs w:val="21"/>
              </w:rPr>
            </w:pPr>
            <w:r>
              <w:rPr>
                <w:rFonts w:ascii="Times New Roman" w:hAnsi="Times New Roman" w:eastAsia="黑体"/>
                <w:szCs w:val="21"/>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b/>
                <w:bCs/>
                <w:szCs w:val="21"/>
              </w:rPr>
            </w:pPr>
            <w:r>
              <w:rPr>
                <w:rFonts w:ascii="Times New Roman" w:hAnsi="Times New Roman" w:eastAsia="仿宋_GB2312"/>
                <w:b/>
                <w:bCs/>
                <w:szCs w:val="21"/>
              </w:rPr>
              <w:t>一、经济发展</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c>
          <w:tcPr>
            <w:tcW w:w="790" w:type="pct"/>
            <w:vAlign w:val="center"/>
          </w:tcPr>
          <w:p>
            <w:pPr>
              <w:spacing w:line="300" w:lineRule="exact"/>
              <w:jc w:val="center"/>
              <w:textAlignment w:val="center"/>
              <w:rPr>
                <w:rFonts w:ascii="Times New Roman" w:hAnsi="Times New Roman" w:eastAsia="仿宋_GB2312"/>
                <w:b/>
                <w:bCs/>
                <w:szCs w:val="21"/>
              </w:rPr>
            </w:pP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c>
          <w:tcPr>
            <w:tcW w:w="665" w:type="pct"/>
            <w:vAlign w:val="center"/>
          </w:tcPr>
          <w:p>
            <w:pPr>
              <w:spacing w:line="300" w:lineRule="exact"/>
              <w:jc w:val="center"/>
              <w:textAlignment w:val="center"/>
              <w:rPr>
                <w:rFonts w:ascii="Times New Roman" w:hAnsi="Times New Roman" w:eastAsia="仿宋_GB2312"/>
                <w:b/>
                <w:bCs/>
                <w:szCs w:val="21"/>
              </w:rPr>
            </w:pP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地区生产总值（GDP）</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亿元</w:t>
            </w:r>
          </w:p>
        </w:tc>
        <w:tc>
          <w:tcPr>
            <w:tcW w:w="790" w:type="pct"/>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86.02</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140</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7.5</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人均地区生产总值</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万</w:t>
            </w:r>
            <w:r>
              <w:rPr>
                <w:rFonts w:ascii="Times New Roman" w:hAnsi="Times New Roman" w:eastAsia="仿宋_GB2312"/>
                <w:szCs w:val="21"/>
              </w:rPr>
              <w:t>元</w:t>
            </w:r>
          </w:p>
        </w:tc>
        <w:tc>
          <w:tcPr>
            <w:tcW w:w="790" w:type="pct"/>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8.99</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14.28</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7.5</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全员劳动生产率增长</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&gt;6.5</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财政收入</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亿元</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12.8</w:t>
            </w:r>
            <w:r>
              <w:rPr>
                <w:rFonts w:hint="eastAsia" w:ascii="Times New Roman" w:hAnsi="Times New Roman" w:eastAsia="仿宋_GB2312"/>
                <w:szCs w:val="21"/>
              </w:rPr>
              <w:t>9</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17.3</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6</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规上工业增加值</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4.5</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8</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8</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制造业增加值占GDP比重</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41.2</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43</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实际到位内资</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亿元</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31.6</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 w:val="18"/>
                <w:szCs w:val="18"/>
              </w:rPr>
              <w:t>完成市下达目标</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10</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利用境外资金（累计）</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万美元</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5335</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6810</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5</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外贸进出口总额</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亿美元</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1.98</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2.53</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6</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社会消费品零售总额</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亿元</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32.3</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47.4</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8</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户籍人口城镇化率</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42.5</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45</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b/>
                <w:bCs/>
                <w:szCs w:val="21"/>
              </w:rPr>
            </w:pPr>
            <w:r>
              <w:rPr>
                <w:rFonts w:ascii="Times New Roman" w:hAnsi="Times New Roman" w:eastAsia="仿宋_GB2312"/>
                <w:b/>
                <w:bCs/>
                <w:szCs w:val="21"/>
              </w:rPr>
              <w:t>二、创新驱动</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c>
          <w:tcPr>
            <w:tcW w:w="790" w:type="pct"/>
            <w:vAlign w:val="center"/>
          </w:tcPr>
          <w:p>
            <w:pPr>
              <w:spacing w:line="300" w:lineRule="exact"/>
              <w:jc w:val="center"/>
              <w:textAlignment w:val="center"/>
              <w:rPr>
                <w:rFonts w:ascii="Times New Roman" w:hAnsi="Times New Roman" w:eastAsia="仿宋_GB2312"/>
                <w:b/>
                <w:bCs/>
                <w:szCs w:val="21"/>
              </w:rPr>
            </w:pP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c>
          <w:tcPr>
            <w:tcW w:w="665" w:type="pct"/>
            <w:vAlign w:val="center"/>
          </w:tcPr>
          <w:p>
            <w:pPr>
              <w:spacing w:line="300" w:lineRule="exact"/>
              <w:jc w:val="center"/>
              <w:textAlignment w:val="center"/>
              <w:rPr>
                <w:rFonts w:ascii="Times New Roman" w:hAnsi="Times New Roman" w:eastAsia="仿宋_GB2312"/>
                <w:b/>
                <w:bCs/>
                <w:szCs w:val="21"/>
              </w:rPr>
            </w:pP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全社会R&amp;D经费支出占GDP比重</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2.66</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2.8</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战略性新兴产业产值占规上工业产值比重</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58</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60</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数字经济核心产业增加值占GDP比重</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1497" w:type="pct"/>
            <w:gridSpan w:val="2"/>
            <w:noWrap/>
            <w:tcMar>
              <w:top w:w="10" w:type="dxa"/>
              <w:left w:w="10" w:type="dxa"/>
              <w:right w:w="10" w:type="dxa"/>
            </w:tcMar>
            <w:vAlign w:val="center"/>
          </w:tcPr>
          <w:p>
            <w:pPr>
              <w:spacing w:line="300" w:lineRule="exact"/>
              <w:jc w:val="center"/>
              <w:textAlignment w:val="center"/>
              <w:rPr>
                <w:rFonts w:ascii="Times New Roman" w:hAnsi="Times New Roman" w:eastAsia="仿宋"/>
                <w:szCs w:val="21"/>
              </w:rPr>
            </w:pPr>
            <w:r>
              <w:rPr>
                <w:rFonts w:hint="eastAsia" w:ascii="Times New Roman" w:hAnsi="Times New Roman" w:eastAsia="仿宋_GB2312"/>
                <w:sz w:val="18"/>
                <w:szCs w:val="18"/>
              </w:rPr>
              <w:t>高于全市平均水平</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每万人有效发明专利拥有量</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件</w:t>
            </w:r>
          </w:p>
        </w:tc>
        <w:tc>
          <w:tcPr>
            <w:tcW w:w="790" w:type="pct"/>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28.8</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39</w:t>
            </w:r>
          </w:p>
        </w:tc>
        <w:tc>
          <w:tcPr>
            <w:tcW w:w="665" w:type="pct"/>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高新技术产业增加值</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6</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8</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b/>
                <w:bCs/>
                <w:szCs w:val="21"/>
              </w:rPr>
            </w:pPr>
            <w:r>
              <w:rPr>
                <w:rFonts w:ascii="Times New Roman" w:hAnsi="Times New Roman" w:eastAsia="仿宋_GB2312"/>
                <w:b/>
                <w:bCs/>
                <w:szCs w:val="21"/>
              </w:rPr>
              <w:t>三、协调发展</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c>
          <w:tcPr>
            <w:tcW w:w="790" w:type="pct"/>
            <w:vAlign w:val="center"/>
          </w:tcPr>
          <w:p>
            <w:pPr>
              <w:spacing w:line="300" w:lineRule="exact"/>
              <w:jc w:val="center"/>
              <w:textAlignment w:val="center"/>
              <w:rPr>
                <w:rFonts w:ascii="Times New Roman" w:hAnsi="Times New Roman" w:eastAsia="仿宋_GB2312"/>
                <w:b/>
                <w:bCs/>
                <w:szCs w:val="21"/>
              </w:rPr>
            </w:pP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c>
          <w:tcPr>
            <w:tcW w:w="665" w:type="pct"/>
            <w:vAlign w:val="center"/>
          </w:tcPr>
          <w:p>
            <w:pPr>
              <w:spacing w:line="300" w:lineRule="exact"/>
              <w:jc w:val="center"/>
              <w:textAlignment w:val="center"/>
              <w:rPr>
                <w:rFonts w:ascii="Times New Roman" w:hAnsi="Times New Roman" w:eastAsia="仿宋_GB2312"/>
                <w:b/>
                <w:bCs/>
                <w:szCs w:val="21"/>
              </w:rPr>
            </w:pP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三次产业比</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
                <w:szCs w:val="21"/>
              </w:rPr>
              <w:t>5.2:49.6:45.2</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4:46:50</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旅游接待量</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万人次</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474</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1084</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18</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旅游总收入</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亿元</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31.96</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70</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17</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过夜游客</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万人次</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4.3</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b/>
                <w:bCs/>
                <w:szCs w:val="21"/>
              </w:rPr>
            </w:pPr>
            <w:r>
              <w:rPr>
                <w:rFonts w:ascii="Times New Roman" w:hAnsi="Times New Roman" w:eastAsia="仿宋_GB2312"/>
                <w:b/>
                <w:bCs/>
                <w:szCs w:val="21"/>
              </w:rPr>
              <w:t>四、绿色低碳</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c>
          <w:tcPr>
            <w:tcW w:w="790" w:type="pct"/>
            <w:vAlign w:val="center"/>
          </w:tcPr>
          <w:p>
            <w:pPr>
              <w:spacing w:line="300" w:lineRule="exact"/>
              <w:jc w:val="center"/>
              <w:textAlignment w:val="center"/>
              <w:rPr>
                <w:rFonts w:ascii="Times New Roman" w:hAnsi="Times New Roman" w:eastAsia="仿宋_GB2312"/>
                <w:b/>
                <w:bCs/>
                <w:szCs w:val="21"/>
              </w:rPr>
            </w:pP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c>
          <w:tcPr>
            <w:tcW w:w="665" w:type="pct"/>
            <w:vAlign w:val="center"/>
          </w:tcPr>
          <w:p>
            <w:pPr>
              <w:spacing w:line="300" w:lineRule="exact"/>
              <w:jc w:val="center"/>
              <w:textAlignment w:val="center"/>
              <w:rPr>
                <w:rFonts w:ascii="Times New Roman" w:hAnsi="Times New Roman" w:eastAsia="仿宋_GB2312"/>
                <w:b/>
                <w:bCs/>
                <w:szCs w:val="21"/>
              </w:rPr>
            </w:pP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单位GDP能耗下降</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完成市下达目标</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完成市下达目标</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单位GDP二氧化碳排放下降</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完成市下达目标</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完成市下达目标</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城市空气质量优良天数比率</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 w:val="18"/>
                <w:szCs w:val="18"/>
              </w:rPr>
              <w:t>完成市下达目标</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95</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地表水水质优良率</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100</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100</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森林覆盖率</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76.24</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76.24</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b/>
                <w:bCs/>
                <w:szCs w:val="21"/>
              </w:rPr>
            </w:pPr>
            <w:r>
              <w:rPr>
                <w:rFonts w:ascii="Times New Roman" w:hAnsi="Times New Roman" w:eastAsia="仿宋_GB2312"/>
                <w:b/>
                <w:bCs/>
                <w:szCs w:val="21"/>
              </w:rPr>
              <w:t>五、民生福祉</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c>
          <w:tcPr>
            <w:tcW w:w="790" w:type="pct"/>
            <w:vAlign w:val="center"/>
          </w:tcPr>
          <w:p>
            <w:pPr>
              <w:spacing w:line="300" w:lineRule="exact"/>
              <w:jc w:val="center"/>
              <w:textAlignment w:val="center"/>
              <w:rPr>
                <w:rFonts w:ascii="Times New Roman" w:hAnsi="Times New Roman" w:eastAsia="仿宋_GB2312"/>
                <w:b/>
                <w:bCs/>
                <w:szCs w:val="21"/>
              </w:rPr>
            </w:pP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c>
          <w:tcPr>
            <w:tcW w:w="665" w:type="pct"/>
            <w:vAlign w:val="center"/>
          </w:tcPr>
          <w:p>
            <w:pPr>
              <w:spacing w:line="300" w:lineRule="exact"/>
              <w:jc w:val="center"/>
              <w:textAlignment w:val="center"/>
              <w:rPr>
                <w:rFonts w:ascii="Times New Roman" w:hAnsi="Times New Roman" w:eastAsia="仿宋_GB2312"/>
                <w:b/>
                <w:bCs/>
                <w:szCs w:val="21"/>
              </w:rPr>
            </w:pP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城镇常住居民人均可支配收入</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元</w:t>
            </w:r>
          </w:p>
        </w:tc>
        <w:tc>
          <w:tcPr>
            <w:tcW w:w="790" w:type="pct"/>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
                <w:szCs w:val="21"/>
              </w:rPr>
              <w:t>41999</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58959</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7</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农村常住居民人均可支配收入</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元</w:t>
            </w:r>
          </w:p>
        </w:tc>
        <w:tc>
          <w:tcPr>
            <w:tcW w:w="790" w:type="pct"/>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
                <w:szCs w:val="21"/>
              </w:rPr>
              <w:t>19145</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27854</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8</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城镇调查失业率</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2.7以内</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4.2以内</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基本养老保险参保率</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完成市下达目标</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完成市下达目标</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劳动年龄人口平均受教育年限</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年</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 w:val="18"/>
                <w:szCs w:val="18"/>
              </w:rPr>
              <w:t>11年以上</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普惠性幼儿园覆盖率</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50</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千人拥有执业（助理）医师数</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人</w:t>
            </w:r>
          </w:p>
        </w:tc>
        <w:tc>
          <w:tcPr>
            <w:tcW w:w="790"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3</w:t>
            </w:r>
          </w:p>
        </w:tc>
        <w:tc>
          <w:tcPr>
            <w:tcW w:w="665" w:type="pct"/>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人均预期寿命</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岁</w:t>
            </w:r>
          </w:p>
        </w:tc>
        <w:tc>
          <w:tcPr>
            <w:tcW w:w="790" w:type="pct"/>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78.8</w:t>
            </w:r>
          </w:p>
        </w:tc>
        <w:tc>
          <w:tcPr>
            <w:tcW w:w="665" w:type="pct"/>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556" w:type="pct"/>
            <w:noWrap/>
            <w:tcMar>
              <w:top w:w="10" w:type="dxa"/>
              <w:left w:w="10" w:type="dxa"/>
              <w:right w:w="10" w:type="dxa"/>
            </w:tcMar>
            <w:vAlign w:val="center"/>
          </w:tcPr>
          <w:p>
            <w:pPr>
              <w:spacing w:line="300" w:lineRule="exact"/>
              <w:textAlignment w:val="center"/>
              <w:rPr>
                <w:rFonts w:ascii="Times New Roman" w:hAnsi="Times New Roman" w:eastAsia="仿宋_GB2312"/>
                <w:szCs w:val="21"/>
              </w:rPr>
            </w:pPr>
            <w:r>
              <w:rPr>
                <w:rFonts w:ascii="Times New Roman" w:hAnsi="Times New Roman" w:eastAsia="仿宋_GB2312"/>
                <w:szCs w:val="21"/>
              </w:rPr>
              <w:t>粮食综合生产能力</w:t>
            </w:r>
          </w:p>
        </w:tc>
        <w:tc>
          <w:tcPr>
            <w:tcW w:w="57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亿斤</w:t>
            </w:r>
          </w:p>
        </w:tc>
        <w:tc>
          <w:tcPr>
            <w:tcW w:w="790" w:type="pct"/>
            <w:vAlign w:val="center"/>
          </w:tcPr>
          <w:p>
            <w:pPr>
              <w:spacing w:line="300" w:lineRule="exact"/>
              <w:jc w:val="center"/>
              <w:textAlignment w:val="center"/>
              <w:rPr>
                <w:rFonts w:ascii="Times New Roman" w:hAnsi="Times New Roman" w:eastAsia="仿宋"/>
                <w:szCs w:val="21"/>
              </w:rPr>
            </w:pPr>
            <w:r>
              <w:rPr>
                <w:rFonts w:hint="eastAsia" w:ascii="Times New Roman" w:hAnsi="Times New Roman" w:eastAsia="仿宋"/>
                <w:szCs w:val="21"/>
              </w:rPr>
              <w:t>0.4</w:t>
            </w:r>
          </w:p>
        </w:tc>
        <w:tc>
          <w:tcPr>
            <w:tcW w:w="831"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rPr>
              <w:t>0.4</w:t>
            </w:r>
          </w:p>
        </w:tc>
        <w:tc>
          <w:tcPr>
            <w:tcW w:w="665" w:type="pct"/>
            <w:vAlign w:val="center"/>
          </w:tcPr>
          <w:p>
            <w:pPr>
              <w:spacing w:line="300" w:lineRule="exact"/>
              <w:jc w:val="center"/>
              <w:textAlignment w:val="center"/>
              <w:rPr>
                <w:rFonts w:ascii="Times New Roman" w:hAnsi="Times New Roman" w:eastAsia="仿宋"/>
                <w:szCs w:val="21"/>
              </w:rPr>
            </w:pPr>
            <w:r>
              <w:rPr>
                <w:rFonts w:ascii="Times New Roman" w:hAnsi="Times New Roman" w:eastAsia="仿宋"/>
                <w:szCs w:val="21"/>
              </w:rPr>
              <w:t>—</w:t>
            </w:r>
          </w:p>
        </w:tc>
        <w:tc>
          <w:tcPr>
            <w:tcW w:w="582" w:type="pct"/>
            <w:noWrap/>
            <w:tcMar>
              <w:top w:w="10" w:type="dxa"/>
              <w:left w:w="10" w:type="dxa"/>
              <w:right w:w="10" w:type="dxa"/>
            </w:tcMar>
            <w:vAlign w:val="center"/>
          </w:tcPr>
          <w:p>
            <w:pPr>
              <w:spacing w:line="300" w:lineRule="exact"/>
              <w:jc w:val="center"/>
              <w:textAlignment w:val="center"/>
              <w:rPr>
                <w:rFonts w:ascii="Times New Roman" w:hAnsi="Times New Roman" w:eastAsia="仿宋_GB2312"/>
                <w:szCs w:val="21"/>
              </w:rPr>
            </w:pPr>
            <w:r>
              <w:rPr>
                <w:rFonts w:ascii="Times New Roman" w:hAnsi="Times New Roman" w:eastAsia="仿宋_GB2312"/>
                <w:szCs w:val="21"/>
              </w:rPr>
              <w:t>约束性</w:t>
            </w:r>
          </w:p>
        </w:tc>
      </w:tr>
    </w:tbl>
    <w:p>
      <w:pPr>
        <w:ind w:firstLine="640" w:firstLineChars="200"/>
        <w:rPr>
          <w:rFonts w:ascii="Times New Roman" w:hAnsi="Times New Roman" w:eastAsia="仿宋_GB2312"/>
          <w:sz w:val="32"/>
          <w:szCs w:val="32"/>
        </w:rPr>
      </w:pPr>
    </w:p>
    <w:p>
      <w:pPr>
        <w:pStyle w:val="2"/>
        <w:jc w:val="center"/>
        <w:rPr>
          <w:rFonts w:ascii="Times New Roman" w:hAnsi="Times New Roman" w:eastAsia="黑体"/>
          <w:b w:val="0"/>
          <w:bCs/>
          <w:sz w:val="36"/>
          <w:szCs w:val="36"/>
        </w:rPr>
      </w:pPr>
      <w:bookmarkStart w:id="8" w:name="_Toc28057"/>
      <w:r>
        <w:rPr>
          <w:rFonts w:ascii="Times New Roman" w:hAnsi="Times New Roman" w:eastAsia="黑体"/>
          <w:b w:val="0"/>
          <w:bCs/>
          <w:sz w:val="36"/>
          <w:szCs w:val="36"/>
        </w:rPr>
        <w:t>第二章  坚持创新核心地位  加快建设要素集聚的创新型徽州</w:t>
      </w:r>
      <w:bookmarkEnd w:id="8"/>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坚持创新在现代化建设全局中的核心地位，坚持“四个面向”，坚持科创强区、人才强区、创新驱动，以企业创新为主体、以创新平台为载体，加快构建以创新为主要引领和支撑的经济发展模式。</w:t>
      </w:r>
    </w:p>
    <w:p>
      <w:pPr>
        <w:pStyle w:val="3"/>
        <w:jc w:val="center"/>
        <w:rPr>
          <w:rFonts w:ascii="Times New Roman" w:hAnsi="Times New Roman" w:eastAsia="楷体_GB2312"/>
          <w:sz w:val="36"/>
          <w:szCs w:val="36"/>
        </w:rPr>
      </w:pPr>
      <w:bookmarkStart w:id="9" w:name="_Toc26123"/>
      <w:r>
        <w:rPr>
          <w:rFonts w:ascii="Times New Roman" w:hAnsi="Times New Roman" w:eastAsia="楷体_GB2312"/>
          <w:sz w:val="36"/>
          <w:szCs w:val="36"/>
        </w:rPr>
        <w:t>第一节  推进科创平台建设</w:t>
      </w:r>
      <w:bookmarkEnd w:id="9"/>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科创+产业”道路，紧密把握长三角一体化、“融杭接沪”、接轨G60科创走廊等机遇，实施科技创新能力提升工程，加强创新科创平台载体建设和重点领域攻关，促进重点产业科技创新成果转化，增强创新链与产业链的深度融合，助力产业高质量发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加强重点产业创新融合发展</w:t>
      </w:r>
      <w:r>
        <w:rPr>
          <w:rFonts w:ascii="Times New Roman" w:hAnsi="Times New Roman" w:eastAsia="仿宋_GB2312"/>
          <w:sz w:val="32"/>
          <w:szCs w:val="32"/>
        </w:rPr>
        <w:t>。聚焦新材料、智能制造、绿色食品、数字经济、生物</w:t>
      </w:r>
      <w:r>
        <w:rPr>
          <w:rFonts w:hint="eastAsia" w:ascii="Times New Roman" w:hAnsi="Times New Roman" w:eastAsia="仿宋_GB2312"/>
          <w:sz w:val="32"/>
          <w:szCs w:val="32"/>
        </w:rPr>
        <w:t>医药</w:t>
      </w:r>
      <w:r>
        <w:rPr>
          <w:rFonts w:ascii="Times New Roman" w:hAnsi="Times New Roman" w:eastAsia="仿宋_GB2312"/>
          <w:sz w:val="32"/>
          <w:szCs w:val="32"/>
        </w:rPr>
        <w:t>大健康等重点产业，完善招商项目库、技术需求库，发挥区内骨干企业的主力军作用，积极与省内外大院大所高校联合开展科技项目合作、细分领域攻关、关键技术转化，实施一批具有补链强链、示范应用的重大科技项目，引进一批具有促转型、增动能的产业升级项目，开发一批“首台套”“首批次”“首版次”和补短板产品，加强“三重一创”建设，提升省市“三重一创”基地（工程）建设水平，促进创新链与产业链深度融合。</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强化创新平台能力建设。</w:t>
      </w:r>
      <w:r>
        <w:rPr>
          <w:rFonts w:ascii="Times New Roman" w:hAnsi="Times New Roman" w:eastAsia="仿宋_GB2312"/>
          <w:sz w:val="32"/>
          <w:szCs w:val="32"/>
        </w:rPr>
        <w:t>支持企业组建产业联盟，开展共性技术研发，建设关键共性技术研发平台。健全重点产业链链长制，充实区科技人才专家库，完善高层次科技人才团队数据库，搭建合作交流平台，常态发布技术成果及技术需求，引导创新要素资源向骨干企业集聚。依托“双创”示范基地，吸引高端孵化器运营商、众创空间来徽布局，培育一批创客空间、创业工场、创业社区等新型业态，完善引驻众创空间、小微企业的“项目基地孵化、产业园区转化”衍伸发展平台，积极参加各类创新创业大赛活动，争创国家级众创空间、省级科技孵化器。</w:t>
      </w:r>
    </w:p>
    <w:p>
      <w:pPr>
        <w:pStyle w:val="3"/>
        <w:jc w:val="center"/>
        <w:rPr>
          <w:rFonts w:ascii="Times New Roman" w:hAnsi="Times New Roman" w:eastAsia="楷体_GB2312"/>
          <w:sz w:val="36"/>
          <w:szCs w:val="36"/>
        </w:rPr>
      </w:pPr>
      <w:bookmarkStart w:id="10" w:name="_Toc12338"/>
      <w:r>
        <w:rPr>
          <w:rFonts w:ascii="Times New Roman" w:hAnsi="Times New Roman" w:eastAsia="楷体_GB2312"/>
          <w:sz w:val="36"/>
          <w:szCs w:val="36"/>
        </w:rPr>
        <w:t>第二节  提升企业技术创新能力</w:t>
      </w:r>
      <w:bookmarkEnd w:id="10"/>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完善技术创新市场导向机制，</w:t>
      </w:r>
      <w:r>
        <w:rPr>
          <w:rFonts w:hint="eastAsia" w:ascii="Times New Roman" w:hAnsi="Times New Roman" w:eastAsia="仿宋_GB2312"/>
          <w:sz w:val="32"/>
          <w:szCs w:val="32"/>
        </w:rPr>
        <w:t>强化“科创+”扶持政策导向作用，</w:t>
      </w:r>
      <w:r>
        <w:rPr>
          <w:rFonts w:ascii="Times New Roman" w:hAnsi="Times New Roman" w:eastAsia="仿宋_GB2312"/>
          <w:sz w:val="32"/>
          <w:szCs w:val="32"/>
        </w:rPr>
        <w:t>鼓励和引导企业加大研发投入，建立</w:t>
      </w:r>
      <w:r>
        <w:rPr>
          <w:rFonts w:hint="eastAsia" w:ascii="Times New Roman" w:hAnsi="Times New Roman" w:eastAsia="仿宋_GB2312"/>
          <w:sz w:val="32"/>
          <w:szCs w:val="32"/>
        </w:rPr>
        <w:t>健全</w:t>
      </w:r>
      <w:r>
        <w:rPr>
          <w:rFonts w:ascii="Times New Roman" w:hAnsi="Times New Roman" w:eastAsia="仿宋_GB2312"/>
          <w:sz w:val="32"/>
          <w:szCs w:val="32"/>
        </w:rPr>
        <w:t>以企业为主体、市场为导向、产学研融合的技术创新体系。</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强化企业创新主体地位。</w:t>
      </w:r>
      <w:r>
        <w:rPr>
          <w:rFonts w:ascii="Times New Roman" w:hAnsi="Times New Roman" w:eastAsia="仿宋_GB2312"/>
          <w:sz w:val="32"/>
          <w:szCs w:val="32"/>
        </w:rPr>
        <w:t>大力弘扬企业家精神，实施企业家高素质能力提升工程，依法保护企业家权益，培育锻造一支具有爱国、创新、诚信、社会责任和国际视野的优秀企业家队伍，推动企业发挥更大作用</w:t>
      </w:r>
      <w:r>
        <w:rPr>
          <w:rFonts w:hint="eastAsia" w:ascii="Times New Roman" w:hAnsi="Times New Roman" w:eastAsia="仿宋_GB2312"/>
          <w:sz w:val="32"/>
          <w:szCs w:val="32"/>
        </w:rPr>
        <w:t>、</w:t>
      </w:r>
      <w:r>
        <w:rPr>
          <w:rFonts w:ascii="Times New Roman" w:hAnsi="Times New Roman" w:eastAsia="仿宋_GB2312"/>
          <w:sz w:val="32"/>
          <w:szCs w:val="32"/>
        </w:rPr>
        <w:t>实现更大发展。支持企业加大省级以上工程研究（技术）中心、企业技术中心及院士（博士后）工作站的</w:t>
      </w:r>
      <w:r>
        <w:rPr>
          <w:rFonts w:hint="eastAsia" w:ascii="Times New Roman" w:hAnsi="Times New Roman" w:eastAsia="仿宋_GB2312"/>
          <w:sz w:val="32"/>
          <w:szCs w:val="32"/>
        </w:rPr>
        <w:t>创建打造、</w:t>
      </w:r>
      <w:r>
        <w:rPr>
          <w:rFonts w:ascii="Times New Roman" w:hAnsi="Times New Roman" w:eastAsia="仿宋_GB2312"/>
          <w:sz w:val="32"/>
          <w:szCs w:val="32"/>
        </w:rPr>
        <w:t>人才引进、研发升级和资金投入，积极承担国家省市科技计划项目，参与国家、行业标准制定。鼓励“专精特新”企业围绕产业细分领域，组建一批省级创新平台，实施一批产学研合作项目，提高既有设计研发、技术创新能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支持企业科技创新发展。</w:t>
      </w:r>
      <w:r>
        <w:rPr>
          <w:rFonts w:ascii="Times New Roman" w:hAnsi="Times New Roman" w:eastAsia="仿宋_GB2312"/>
          <w:sz w:val="32"/>
          <w:szCs w:val="32"/>
        </w:rPr>
        <w:t>坚持“政产学研用金”六位一体，</w:t>
      </w:r>
      <w:r>
        <w:rPr>
          <w:rFonts w:hint="eastAsia" w:ascii="Times New Roman" w:hAnsi="Times New Roman" w:eastAsia="仿宋_GB2312"/>
          <w:sz w:val="32"/>
          <w:szCs w:val="32"/>
        </w:rPr>
        <w:t>建立</w:t>
      </w:r>
      <w:r>
        <w:rPr>
          <w:rFonts w:ascii="Times New Roman" w:hAnsi="Times New Roman" w:eastAsia="仿宋_GB2312"/>
          <w:sz w:val="32"/>
          <w:szCs w:val="32"/>
        </w:rPr>
        <w:t>健全以企业为主体、市场为导向的技术创新体系。坚持</w:t>
      </w:r>
      <w:r>
        <w:rPr>
          <w:rFonts w:hint="eastAsia" w:ascii="Times New Roman" w:hAnsi="Times New Roman" w:eastAsia="仿宋_GB2312"/>
          <w:sz w:val="32"/>
          <w:szCs w:val="32"/>
        </w:rPr>
        <w:t>龙头企业牵头、高校院所支撑、各创新主体相互协调的创新联合体</w:t>
      </w:r>
      <w:r>
        <w:rPr>
          <w:rFonts w:ascii="Times New Roman" w:hAnsi="Times New Roman" w:eastAsia="仿宋_GB2312"/>
          <w:sz w:val="32"/>
          <w:szCs w:val="32"/>
        </w:rPr>
        <w:t>，开展共性技术平台建设，提高主导产业聚合度。实施高新战新企业培育增长计划，培育国家“小巨人”企业、制造业单项冠军企业、产值超10亿元企业。加大企业上市孵化，支持企业在省股权交托管交易中心科创板挂牌，力争主板上市企业3-5户。落实企业研发经费加计扣除、高新企业所</w:t>
      </w:r>
      <w:r>
        <w:rPr>
          <w:rFonts w:hint="eastAsia" w:ascii="Times New Roman" w:hAnsi="Times New Roman" w:eastAsia="仿宋_GB2312"/>
          <w:sz w:val="32"/>
          <w:szCs w:val="32"/>
        </w:rPr>
        <w:t>得</w:t>
      </w:r>
      <w:r>
        <w:rPr>
          <w:rFonts w:ascii="Times New Roman" w:hAnsi="Times New Roman" w:eastAsia="仿宋_GB2312"/>
          <w:sz w:val="32"/>
          <w:szCs w:val="32"/>
        </w:rPr>
        <w:t>税减免等政策，完善高层次人才激励办法，为中小企业创新发展营造公平竞争环境。加大财政性资金产业扶持力度，鼓励企业滚动提升产学研合作水平</w:t>
      </w:r>
      <w:r>
        <w:rPr>
          <w:rFonts w:hint="eastAsia" w:ascii="Times New Roman" w:hAnsi="Times New Roman" w:eastAsia="仿宋_GB2312"/>
          <w:sz w:val="32"/>
          <w:szCs w:val="32"/>
        </w:rPr>
        <w:t>、</w:t>
      </w:r>
      <w:r>
        <w:rPr>
          <w:rFonts w:ascii="Times New Roman" w:hAnsi="Times New Roman" w:eastAsia="仿宋_GB2312"/>
          <w:sz w:val="32"/>
          <w:szCs w:val="32"/>
        </w:rPr>
        <w:t>加大技改升级，推动产品中端化品牌化，延伸产品专业化精细化，提高产业聚合度和产业链衍伸发展</w:t>
      </w:r>
      <w:r>
        <w:rPr>
          <w:rFonts w:hint="eastAsia" w:ascii="Times New Roman" w:hAnsi="Times New Roman" w:eastAsia="仿宋_GB2312"/>
          <w:sz w:val="32"/>
          <w:szCs w:val="32"/>
        </w:rPr>
        <w:t>能力</w:t>
      </w:r>
      <w:r>
        <w:rPr>
          <w:rFonts w:ascii="Times New Roman" w:hAnsi="Times New Roman" w:eastAsia="仿宋_GB2312"/>
          <w:sz w:val="32"/>
          <w:szCs w:val="32"/>
        </w:rPr>
        <w:t>。</w:t>
      </w:r>
    </w:p>
    <w:p>
      <w:pPr>
        <w:pStyle w:val="3"/>
        <w:jc w:val="center"/>
        <w:rPr>
          <w:rFonts w:ascii="Times New Roman" w:hAnsi="Times New Roman" w:eastAsia="楷体_GB2312"/>
          <w:sz w:val="36"/>
          <w:szCs w:val="36"/>
        </w:rPr>
      </w:pPr>
      <w:bookmarkStart w:id="11" w:name="_Toc8756"/>
      <w:r>
        <w:rPr>
          <w:rFonts w:ascii="Times New Roman" w:hAnsi="Times New Roman" w:eastAsia="楷体_GB2312"/>
          <w:sz w:val="36"/>
          <w:szCs w:val="36"/>
        </w:rPr>
        <w:t>第三节  激发人才创新活力</w:t>
      </w:r>
      <w:bookmarkEnd w:id="11"/>
    </w:p>
    <w:p>
      <w:pPr>
        <w:ind w:firstLine="640" w:firstLineChars="200"/>
        <w:rPr>
          <w:rFonts w:ascii="Times New Roman" w:hAnsi="Times New Roman" w:eastAsia="仿宋_GB2312"/>
          <w:sz w:val="32"/>
          <w:szCs w:val="32"/>
        </w:rPr>
      </w:pPr>
      <w:r>
        <w:rPr>
          <w:rFonts w:ascii="Times New Roman" w:hAnsi="Times New Roman" w:eastAsia="仿宋_GB2312"/>
          <w:sz w:val="32"/>
          <w:szCs w:val="32"/>
        </w:rPr>
        <w:t>深化人才发展体制机制改革，树立“区域竞争实则人才竞争”理念，深入实施人才强区战略，以企业家、高层次创新人才和高技能人才队伍建设为重点，围绕产业链布局人才链，积极推进产业转型升级。</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加大高层次人才培育。</w:t>
      </w:r>
      <w:r>
        <w:rPr>
          <w:rFonts w:ascii="Times New Roman" w:hAnsi="Times New Roman" w:eastAsia="仿宋_GB2312"/>
          <w:sz w:val="32"/>
          <w:szCs w:val="32"/>
        </w:rPr>
        <w:t>大力推进“招才引智”工程，深化地校合作，发挥院士（博士后）工作站等创新平台聚才作用，加大柔性引才力度，引进培养一批科技领军人才、青年科技人才、</w:t>
      </w:r>
      <w:r>
        <w:rPr>
          <w:rFonts w:hint="eastAsia" w:ascii="Times New Roman" w:hAnsi="Times New Roman" w:eastAsia="仿宋_GB2312"/>
          <w:sz w:val="32"/>
          <w:szCs w:val="32"/>
        </w:rPr>
        <w:t>战略性新兴产业人才、</w:t>
      </w:r>
      <w:r>
        <w:rPr>
          <w:rFonts w:ascii="Times New Roman" w:hAnsi="Times New Roman" w:eastAsia="仿宋_GB2312"/>
          <w:sz w:val="32"/>
          <w:szCs w:val="32"/>
        </w:rPr>
        <w:t>高层次科创团队和“假日专家”“候鸟型教授”。鼓励企业异地设立研发机构，打破地域瓶颈在外就近吸引高层次人才。传承徽州工匠精神，加快推进产业工人高质量发展匠心工程，加强创新型、应用型、技能型人才培养，壮大高水平工程师、紧缺型技工人才和产业工人队伍。统筹推进党政人才、企业经营管理人才、金融人才、农村实用人才、社会工作人才等队伍建设。</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优化人才发展生态环境。</w:t>
      </w:r>
      <w:r>
        <w:rPr>
          <w:rFonts w:ascii="Times New Roman" w:hAnsi="Times New Roman" w:eastAsia="仿宋_GB2312"/>
          <w:sz w:val="32"/>
          <w:szCs w:val="32"/>
        </w:rPr>
        <w:t>弘扬科学精神，加强科普工作，营造崇尚创新的社会氛围。对标</w:t>
      </w:r>
      <w:r>
        <w:rPr>
          <w:rFonts w:hint="eastAsia" w:ascii="Times New Roman" w:hAnsi="Times New Roman" w:eastAsia="仿宋_GB2312"/>
          <w:sz w:val="32"/>
          <w:szCs w:val="32"/>
        </w:rPr>
        <w:t>长三角</w:t>
      </w:r>
      <w:r>
        <w:rPr>
          <w:rFonts w:ascii="Times New Roman" w:hAnsi="Times New Roman" w:eastAsia="仿宋_GB2312"/>
          <w:sz w:val="32"/>
          <w:szCs w:val="32"/>
        </w:rPr>
        <w:t>优化人才政策，完善落实引进培养高层次人才奖励办法、打造主导产业人才高地扶持奖励暂行办法、人才储备金管理暂行办法等人才</w:t>
      </w:r>
      <w:r>
        <w:rPr>
          <w:rFonts w:hint="eastAsia" w:ascii="Times New Roman" w:hAnsi="Times New Roman" w:eastAsia="仿宋_GB2312"/>
          <w:sz w:val="32"/>
          <w:szCs w:val="32"/>
        </w:rPr>
        <w:t>激励</w:t>
      </w:r>
      <w:r>
        <w:rPr>
          <w:rFonts w:ascii="Times New Roman" w:hAnsi="Times New Roman" w:eastAsia="仿宋_GB2312"/>
          <w:sz w:val="32"/>
          <w:szCs w:val="32"/>
        </w:rPr>
        <w:t>政策，持续开展“百名专家黄山行、百家企业高校行”等活动。加强党委联系服务专家人才制度，探索高层次人才积分制管理和企业自主评价人才机制，健全以创新能力、质量、实效、贡献为导向的科技人才评价体系。建立徽籍人才数据库和人才服务保障机制，在职业资格认定认可、子女教育、医疗保障等方面提供便利。依托青年创客大赛、职业技能大赛、“徽州百工”等创业创新大赛和竞技活动，浓厚大学生创业、返乡创业、蓝领创新支持氛围。推动创业社区、创客之家等载体，推进政府主导、企业参与、先进要素支撑的低成本、便利化、开放式新型创业服务模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3" w:hRule="atLeast"/>
        </w:trPr>
        <w:tc>
          <w:tcPr>
            <w:tcW w:w="9174" w:type="dxa"/>
            <w:vAlign w:val="center"/>
          </w:tcPr>
          <w:p>
            <w:pPr>
              <w:pStyle w:val="4"/>
              <w:jc w:val="center"/>
              <w:rPr>
                <w:rFonts w:ascii="Times New Roman" w:hAnsi="Times New Roman"/>
                <w:b/>
                <w:bCs/>
                <w:color w:val="auto"/>
                <w:sz w:val="32"/>
                <w:szCs w:val="32"/>
              </w:rPr>
            </w:pPr>
            <w:bookmarkStart w:id="12" w:name="_Toc23036"/>
            <w:r>
              <w:rPr>
                <w:rFonts w:ascii="Times New Roman" w:hAnsi="Times New Roman"/>
                <w:b/>
                <w:bCs/>
                <w:color w:val="auto"/>
                <w:sz w:val="32"/>
                <w:szCs w:val="32"/>
              </w:rPr>
              <w:t>专栏3  科技创新能力提升工程</w:t>
            </w:r>
            <w:bookmarkEnd w:id="12"/>
          </w:p>
          <w:p>
            <w:pPr>
              <w:pStyle w:val="11"/>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科创能力提升。</w:t>
            </w:r>
            <w:r>
              <w:rPr>
                <w:rFonts w:ascii="Times New Roman" w:hAnsi="Times New Roman" w:eastAsia="仿宋_GB2312"/>
                <w:sz w:val="28"/>
                <w:szCs w:val="28"/>
              </w:rPr>
              <w:t>新增省级以上工程研究中心1家、企业技术中心3家、技术创新中心1家、院士（博士后）工作站1家，争创国家级众创空间1个、省级科技孵化器1个以上。力争全社会研发经费占地区生产总值比重达到2.8%。</w:t>
            </w:r>
          </w:p>
          <w:p>
            <w:pPr>
              <w:pStyle w:val="11"/>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企业技术能力提升。</w:t>
            </w:r>
            <w:r>
              <w:rPr>
                <w:rFonts w:ascii="Times New Roman" w:hAnsi="Times New Roman" w:eastAsia="仿宋_GB2312"/>
                <w:sz w:val="28"/>
                <w:szCs w:val="28"/>
              </w:rPr>
              <w:t>培育超10亿元龙头企业</w:t>
            </w:r>
            <w:r>
              <w:rPr>
                <w:rFonts w:hint="eastAsia" w:ascii="Times New Roman" w:hAnsi="Times New Roman" w:eastAsia="仿宋_GB2312"/>
                <w:sz w:val="28"/>
                <w:szCs w:val="28"/>
              </w:rPr>
              <w:t>6</w:t>
            </w:r>
            <w:r>
              <w:rPr>
                <w:rFonts w:ascii="Times New Roman" w:hAnsi="Times New Roman" w:eastAsia="仿宋_GB2312"/>
                <w:sz w:val="28"/>
                <w:szCs w:val="28"/>
              </w:rPr>
              <w:t>户，“十四五”期间，新增国家级“小巨人”和制造业单项冠军企业各1户，“绿色工厂”2户、“智能工厂”1户、“数字化车间”2户。每年新增</w:t>
            </w:r>
            <w:r>
              <w:rPr>
                <w:rFonts w:hint="eastAsia" w:ascii="Times New Roman" w:hAnsi="Times New Roman" w:eastAsia="仿宋_GB2312"/>
                <w:sz w:val="28"/>
                <w:szCs w:val="28"/>
              </w:rPr>
              <w:t>科技型中心企业10</w:t>
            </w:r>
            <w:r>
              <w:rPr>
                <w:rFonts w:ascii="Times New Roman" w:hAnsi="Times New Roman" w:eastAsia="仿宋_GB2312"/>
                <w:sz w:val="28"/>
                <w:szCs w:val="28"/>
              </w:rPr>
              <w:t>户、安徽首台套重大装备企业1户、安徽工业精品企业1户、“专精特新”企业2户以上、“五个一百”推介目录项目2个</w:t>
            </w:r>
            <w:r>
              <w:rPr>
                <w:rFonts w:hint="eastAsia" w:ascii="Times New Roman" w:hAnsi="Times New Roman" w:eastAsia="仿宋_GB2312"/>
                <w:sz w:val="28"/>
                <w:szCs w:val="28"/>
              </w:rPr>
              <w:t>，</w:t>
            </w:r>
            <w:r>
              <w:rPr>
                <w:rFonts w:ascii="Times New Roman" w:hAnsi="Times New Roman" w:eastAsia="仿宋_GB2312"/>
                <w:sz w:val="28"/>
                <w:szCs w:val="28"/>
              </w:rPr>
              <w:t>滚动实施技改升级项目50个以上、产学研合作项目30个以上、“机器换人”项目20个以上。</w:t>
            </w:r>
          </w:p>
          <w:p>
            <w:pPr>
              <w:pStyle w:val="11"/>
              <w:ind w:firstLine="562" w:firstLineChars="200"/>
              <w:jc w:val="left"/>
              <w:rPr>
                <w:rFonts w:ascii="Times New Roman" w:hAnsi="Times New Roman" w:eastAsia="黑体"/>
                <w:sz w:val="30"/>
                <w:szCs w:val="30"/>
              </w:rPr>
            </w:pPr>
            <w:r>
              <w:rPr>
                <w:rFonts w:ascii="Times New Roman" w:hAnsi="Times New Roman" w:eastAsia="仿宋_GB2312"/>
                <w:b/>
                <w:bCs/>
                <w:sz w:val="28"/>
                <w:szCs w:val="28"/>
              </w:rPr>
              <w:t>人才创新培育。</w:t>
            </w:r>
            <w:r>
              <w:rPr>
                <w:rFonts w:ascii="Times New Roman" w:hAnsi="Times New Roman" w:eastAsia="仿宋_GB2312"/>
                <w:sz w:val="28"/>
                <w:szCs w:val="28"/>
              </w:rPr>
              <w:t>新增省高层次科技人才团队2个以上、省“特支计划领军人才”2名、省“115产业创新团队”3个，吸纳来徽硕士以上人才数量50人以上。专业技术人才总量1498人，其中高层次专业技术人才135人</w:t>
            </w:r>
            <w:r>
              <w:rPr>
                <w:rFonts w:hint="eastAsia" w:ascii="Times New Roman" w:hAnsi="Times New Roman" w:eastAsia="仿宋_GB2312"/>
                <w:sz w:val="28"/>
                <w:szCs w:val="28"/>
              </w:rPr>
              <w:t>。</w:t>
            </w:r>
            <w:r>
              <w:rPr>
                <w:rFonts w:ascii="Times New Roman" w:hAnsi="Times New Roman" w:eastAsia="仿宋_GB2312"/>
                <w:sz w:val="28"/>
                <w:szCs w:val="28"/>
              </w:rPr>
              <w:t>技能人才总量达到2.5万人，其中高技能人才3800人以上。</w:t>
            </w:r>
          </w:p>
        </w:tc>
      </w:tr>
    </w:tbl>
    <w:p>
      <w:pPr>
        <w:pStyle w:val="11"/>
        <w:ind w:firstLine="210"/>
        <w:rPr>
          <w:rFonts w:ascii="Times New Roman" w:hAnsi="Times New Roman"/>
        </w:rPr>
      </w:pPr>
    </w:p>
    <w:p>
      <w:pPr>
        <w:pStyle w:val="11"/>
        <w:ind w:firstLine="210"/>
        <w:rPr>
          <w:rFonts w:ascii="Times New Roman" w:hAnsi="Times New Roman"/>
        </w:rPr>
      </w:pPr>
    </w:p>
    <w:p>
      <w:pPr>
        <w:pStyle w:val="11"/>
        <w:ind w:firstLine="210"/>
        <w:rPr>
          <w:rFonts w:ascii="Times New Roman" w:hAnsi="Times New Roman"/>
        </w:rPr>
      </w:pPr>
    </w:p>
    <w:p>
      <w:pPr>
        <w:pStyle w:val="11"/>
        <w:ind w:firstLine="210"/>
        <w:rPr>
          <w:rFonts w:ascii="Times New Roman" w:hAnsi="Times New Roman"/>
        </w:rPr>
      </w:pPr>
    </w:p>
    <w:p>
      <w:pPr>
        <w:pStyle w:val="11"/>
        <w:ind w:firstLine="210"/>
        <w:rPr>
          <w:rFonts w:ascii="Times New Roman" w:hAnsi="Times New Roman"/>
        </w:rPr>
      </w:pPr>
    </w:p>
    <w:p>
      <w:pPr>
        <w:pStyle w:val="11"/>
        <w:ind w:firstLine="210"/>
        <w:rPr>
          <w:rFonts w:ascii="Times New Roman" w:hAnsi="Times New Roman"/>
        </w:rPr>
      </w:pPr>
    </w:p>
    <w:p>
      <w:pPr>
        <w:pStyle w:val="2"/>
        <w:jc w:val="center"/>
        <w:rPr>
          <w:rFonts w:ascii="Times New Roman" w:hAnsi="Times New Roman" w:eastAsia="黑体"/>
          <w:b w:val="0"/>
          <w:bCs/>
          <w:sz w:val="36"/>
          <w:szCs w:val="36"/>
        </w:rPr>
      </w:pPr>
      <w:bookmarkStart w:id="13" w:name="_Toc19371"/>
      <w:r>
        <w:rPr>
          <w:rFonts w:ascii="Times New Roman" w:hAnsi="Times New Roman" w:eastAsia="黑体"/>
          <w:b w:val="0"/>
          <w:bCs/>
          <w:sz w:val="36"/>
          <w:szCs w:val="36"/>
        </w:rPr>
        <w:t>第三章  坚持产业兴区战略  加快构建现代产业体系</w:t>
      </w:r>
      <w:bookmarkEnd w:id="13"/>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把做实做强做优实体经济作为主攻方向，大力实施“工业强区”战略，聚焦新材料、智能制造、绿色食品补链固链强链，推进传统产业和新兴产业融合发展，推动产业绿色转型和特色集群发展，加快实现产业基础高级化和产业链现代化，建成特色产业园区、创新高效园区、绿色生态园区，打造具有重要影响力的新兴产业集聚地，提高经济质量效益和核心竞争力。</w:t>
      </w:r>
    </w:p>
    <w:p>
      <w:pPr>
        <w:pStyle w:val="3"/>
        <w:jc w:val="center"/>
        <w:rPr>
          <w:rFonts w:ascii="Times New Roman" w:hAnsi="Times New Roman" w:eastAsia="楷体_GB2312"/>
          <w:sz w:val="36"/>
          <w:szCs w:val="36"/>
        </w:rPr>
      </w:pPr>
      <w:bookmarkStart w:id="14" w:name="_Toc9275"/>
      <w:r>
        <w:rPr>
          <w:rFonts w:ascii="Times New Roman" w:hAnsi="Times New Roman" w:eastAsia="楷体_GB2312"/>
          <w:sz w:val="36"/>
          <w:szCs w:val="36"/>
        </w:rPr>
        <w:t>第一节  推动主导产业高质量发展</w:t>
      </w:r>
      <w:bookmarkEnd w:id="14"/>
    </w:p>
    <w:p>
      <w:pPr>
        <w:ind w:firstLine="640" w:firstLineChars="200"/>
        <w:rPr>
          <w:rFonts w:ascii="Times New Roman" w:hAnsi="Times New Roman" w:eastAsia="仿宋_GB2312"/>
          <w:sz w:val="32"/>
          <w:szCs w:val="32"/>
        </w:rPr>
      </w:pPr>
      <w:r>
        <w:rPr>
          <w:rFonts w:ascii="Times New Roman" w:hAnsi="Times New Roman" w:eastAsia="仿宋_GB2312"/>
          <w:sz w:val="32"/>
          <w:szCs w:val="32"/>
        </w:rPr>
        <w:t>紧扣产业高质量发展目标，以现有新材料、智能制造、绿色食品产业为基础，实施产业集群高质量发展工程，加大战新高新产业引入，支持企业兼并重组</w:t>
      </w:r>
      <w:r>
        <w:rPr>
          <w:rFonts w:hint="eastAsia" w:ascii="Times New Roman" w:hAnsi="Times New Roman" w:eastAsia="仿宋_GB2312"/>
          <w:sz w:val="32"/>
          <w:szCs w:val="32"/>
        </w:rPr>
        <w:t>、</w:t>
      </w:r>
      <w:r>
        <w:rPr>
          <w:rFonts w:ascii="Times New Roman" w:hAnsi="Times New Roman" w:eastAsia="仿宋_GB2312"/>
          <w:sz w:val="32"/>
          <w:szCs w:val="32"/>
        </w:rPr>
        <w:t>转型升级，深入开展质量提升行动，推进传统产业基础再造、技术改造</w:t>
      </w:r>
      <w:r>
        <w:rPr>
          <w:rFonts w:hint="eastAsia" w:ascii="Times New Roman" w:hAnsi="Times New Roman" w:eastAsia="仿宋_GB2312"/>
          <w:sz w:val="32"/>
          <w:szCs w:val="32"/>
        </w:rPr>
        <w:t>和</w:t>
      </w:r>
      <w:r>
        <w:rPr>
          <w:rFonts w:ascii="Times New Roman" w:hAnsi="Times New Roman" w:eastAsia="仿宋_GB2312"/>
          <w:sz w:val="32"/>
          <w:szCs w:val="32"/>
        </w:rPr>
        <w:t>“小升规、规改股、股上市”，以延链补链强链提升三大主导产业集聚集群化发展，积极争创省级县域特色产业集群（基地）。</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新材料产业。</w:t>
      </w:r>
      <w:r>
        <w:rPr>
          <w:rFonts w:ascii="Times New Roman" w:hAnsi="Times New Roman" w:eastAsia="仿宋_GB2312"/>
          <w:sz w:val="32"/>
          <w:szCs w:val="32"/>
        </w:rPr>
        <w:t>以省化工园区循环经济园</w:t>
      </w:r>
      <w:r>
        <w:rPr>
          <w:rFonts w:hint="eastAsia" w:ascii="Times New Roman" w:hAnsi="Times New Roman" w:eastAsia="仿宋_GB2312"/>
          <w:sz w:val="32"/>
          <w:szCs w:val="32"/>
        </w:rPr>
        <w:t>区</w:t>
      </w:r>
      <w:r>
        <w:rPr>
          <w:rFonts w:ascii="Times New Roman" w:hAnsi="Times New Roman" w:eastAsia="仿宋_GB2312"/>
          <w:sz w:val="32"/>
          <w:szCs w:val="32"/>
        </w:rPr>
        <w:t>为主平台，坚持绿色化、高性能化、精细化发展方向，支持华惠科技、新远科技、神剑新材料、永新新材料、东远新材料等重点企业，加大产业技术创新、产品低端淘转和功能细分升级，向半导体信息、高端涂装、循环利用、生物可降解、性能轻质等行业和领域拓展，完善以功能树脂材料、新型功能材料、先进结构材料为重点的链式发展新材料产业体系，打造一批“专精特新”小巨人和行业</w:t>
      </w:r>
      <w:r>
        <w:rPr>
          <w:rFonts w:hint="eastAsia" w:ascii="Times New Roman" w:hAnsi="Times New Roman" w:eastAsia="仿宋_GB2312"/>
          <w:sz w:val="32"/>
          <w:szCs w:val="32"/>
        </w:rPr>
        <w:t>单项冠军，</w:t>
      </w:r>
      <w:r>
        <w:rPr>
          <w:rFonts w:ascii="Times New Roman" w:hAnsi="Times New Roman" w:eastAsia="仿宋_GB2312"/>
          <w:sz w:val="32"/>
          <w:szCs w:val="32"/>
        </w:rPr>
        <w:t>实现新材料产业体系链基本成熟，产业布局和调整效果显著，产品质量大幅提升，创新能力显著增强，打造成</w:t>
      </w:r>
      <w:r>
        <w:rPr>
          <w:rFonts w:hint="eastAsia" w:ascii="Times New Roman" w:hAnsi="Times New Roman" w:eastAsia="仿宋_GB2312"/>
          <w:sz w:val="32"/>
          <w:szCs w:val="32"/>
        </w:rPr>
        <w:t>全区</w:t>
      </w:r>
      <w:r>
        <w:rPr>
          <w:rFonts w:ascii="Times New Roman" w:hAnsi="Times New Roman" w:eastAsia="仿宋_GB2312"/>
          <w:sz w:val="32"/>
          <w:szCs w:val="32"/>
        </w:rPr>
        <w:t>首个百亿产值特色产业。</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智能制造产业。</w:t>
      </w:r>
      <w:r>
        <w:rPr>
          <w:rFonts w:ascii="Times New Roman" w:hAnsi="Times New Roman" w:eastAsia="仿宋_GB2312"/>
          <w:sz w:val="32"/>
          <w:szCs w:val="32"/>
        </w:rPr>
        <w:t>以城北工业园</w:t>
      </w:r>
      <w:r>
        <w:rPr>
          <w:rFonts w:hint="eastAsia" w:ascii="Times New Roman" w:hAnsi="Times New Roman" w:eastAsia="仿宋_GB2312"/>
          <w:sz w:val="32"/>
          <w:szCs w:val="32"/>
        </w:rPr>
        <w:t>区</w:t>
      </w:r>
      <w:r>
        <w:rPr>
          <w:rFonts w:ascii="Times New Roman" w:hAnsi="Times New Roman" w:eastAsia="仿宋_GB2312"/>
          <w:sz w:val="32"/>
          <w:szCs w:val="32"/>
        </w:rPr>
        <w:t>、城东工业园</w:t>
      </w:r>
      <w:r>
        <w:rPr>
          <w:rFonts w:hint="eastAsia" w:ascii="Times New Roman" w:hAnsi="Times New Roman" w:eastAsia="仿宋_GB2312"/>
          <w:sz w:val="32"/>
          <w:szCs w:val="32"/>
        </w:rPr>
        <w:t>区</w:t>
      </w:r>
      <w:r>
        <w:rPr>
          <w:rFonts w:ascii="Times New Roman" w:hAnsi="Times New Roman" w:eastAsia="仿宋_GB2312"/>
          <w:sz w:val="32"/>
          <w:szCs w:val="32"/>
        </w:rPr>
        <w:t>为载体，以“优先发展智能制造，培育战略性新兴产业，加快调整工业结构”为主线，突出智能化、信息化、高端化发展方向，推进智能工厂、数字化车间建设，扩大工业机器换人、生产智能管控应用，增强自主核心技术和特色品牌建设，支持新诺精工、沿浦金属、黄山奔马、谷捷散热、金地电子</w:t>
      </w:r>
      <w:r>
        <w:rPr>
          <w:rFonts w:hint="eastAsia" w:ascii="Times New Roman" w:hAnsi="Times New Roman" w:eastAsia="仿宋_GB2312"/>
          <w:sz w:val="32"/>
          <w:szCs w:val="32"/>
        </w:rPr>
        <w:t>、日基（普电）焊接</w:t>
      </w:r>
      <w:r>
        <w:rPr>
          <w:rFonts w:ascii="Times New Roman" w:hAnsi="Times New Roman" w:eastAsia="仿宋_GB2312"/>
          <w:sz w:val="32"/>
          <w:szCs w:val="32"/>
        </w:rPr>
        <w:t>等企业做特做强，深化与中科大、浙大、沈阳工大、合工大等产学研合作，鼓励现有专用器械、仪器仪表、电子器件等企业共同参与机、电、自控一体化的成套技术装备、单台专用设备或关键部件研发生产，引进一批产业链契合、上下游配套、附加值高</w:t>
      </w:r>
      <w:r>
        <w:rPr>
          <w:rFonts w:hint="eastAsia" w:ascii="Times New Roman" w:hAnsi="Times New Roman" w:eastAsia="仿宋_GB2312"/>
          <w:sz w:val="32"/>
          <w:szCs w:val="32"/>
        </w:rPr>
        <w:t>的</w:t>
      </w:r>
      <w:r>
        <w:rPr>
          <w:rFonts w:ascii="Times New Roman" w:hAnsi="Times New Roman" w:eastAsia="仿宋_GB2312"/>
          <w:sz w:val="32"/>
          <w:szCs w:val="32"/>
        </w:rPr>
        <w:t>产业项目，大力发展数控机床、汽摩关键部件、专用设备等精品工业产品，走“整体+配套”产业发展模式，创建一批省级技术创新示范企业，力争国家技术创新示范企业零突破。</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绿色食品产业。</w:t>
      </w:r>
      <w:r>
        <w:rPr>
          <w:rFonts w:ascii="Times New Roman" w:hAnsi="Times New Roman" w:eastAsia="仿宋_GB2312"/>
          <w:sz w:val="32"/>
          <w:szCs w:val="32"/>
        </w:rPr>
        <w:t>以城北工业园为绿色食品精深加工基地，立足区内茶叶、蜂业、矿泉水、贡菊等优势农特产品资源，突出“绿色、健康、安全、生态”市场需求导向，以中茶、谢裕大、养生源、徽客坊、无极雪等重点企业为抓手，提升“企业+基地”定向溯源管理机制，加大生产技艺、精致工艺、包装设计等技术改造，加强龙头培育、产品定制和区域质量品牌、直销布点，丰富仓储冷链、物流配送、电子商务、线上直销等功能，完善产品检测、技术服务、市场监管三大平台建设，建成一批三产融合示范、工业研学基地和长三角地区绿色食品生产加工基地，提升区域品牌和中高端市场竞争力，着力打造“徽州地道”的金字招牌，实现绿色食品产业水平明显提升，产业链不断完善，绿色食品业态更加丰富。</w:t>
      </w:r>
    </w:p>
    <w:p>
      <w:pPr>
        <w:ind w:firstLine="640" w:firstLineChars="200"/>
        <w:rPr>
          <w:rFonts w:ascii="Times New Roman" w:hAnsi="Times New Roman" w:eastAsia="仿宋_GB2312"/>
          <w:sz w:val="32"/>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81" w:type="dxa"/>
            <w:vAlign w:val="center"/>
          </w:tcPr>
          <w:p>
            <w:pPr>
              <w:pStyle w:val="4"/>
              <w:jc w:val="center"/>
              <w:rPr>
                <w:rFonts w:ascii="Times New Roman" w:hAnsi="Times New Roman"/>
                <w:b/>
                <w:bCs/>
                <w:color w:val="auto"/>
                <w:sz w:val="32"/>
                <w:szCs w:val="32"/>
              </w:rPr>
            </w:pPr>
            <w:bookmarkStart w:id="15" w:name="_Toc26533"/>
            <w:r>
              <w:rPr>
                <w:rFonts w:ascii="Times New Roman" w:hAnsi="Times New Roman"/>
                <w:b/>
                <w:bCs/>
                <w:color w:val="auto"/>
                <w:sz w:val="32"/>
                <w:szCs w:val="32"/>
              </w:rPr>
              <w:t>专栏4  主导产业集群高质量发展工程</w:t>
            </w:r>
            <w:bookmarkEnd w:id="15"/>
          </w:p>
          <w:p>
            <w:pPr>
              <w:ind w:firstLine="560" w:firstLineChars="200"/>
              <w:rPr>
                <w:rFonts w:ascii="Times New Roman" w:hAnsi="Times New Roman" w:eastAsia="仿宋_GB2312"/>
                <w:sz w:val="28"/>
                <w:szCs w:val="28"/>
              </w:rPr>
            </w:pP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新材料产业。</w:t>
            </w:r>
            <w:r>
              <w:rPr>
                <w:rFonts w:ascii="Times New Roman" w:hAnsi="Times New Roman" w:eastAsia="仿宋_GB2312"/>
                <w:sz w:val="28"/>
                <w:szCs w:val="28"/>
              </w:rPr>
              <w:t>到2025年，新材料产业总产值力争达到160亿元，实现税收7亿元，年均增长16%以上。总产值5亿元以上10户，其中达到10亿元的6户，高新技术企业超30</w:t>
            </w:r>
            <w:r>
              <w:rPr>
                <w:rFonts w:hint="eastAsia" w:ascii="Times New Roman" w:hAnsi="Times New Roman" w:eastAsia="仿宋_GB2312"/>
                <w:sz w:val="28"/>
                <w:szCs w:val="28"/>
              </w:rPr>
              <w:t>户</w:t>
            </w:r>
            <w:r>
              <w:rPr>
                <w:rFonts w:ascii="Times New Roman" w:hAnsi="Times New Roman" w:eastAsia="仿宋_GB2312"/>
                <w:sz w:val="28"/>
                <w:szCs w:val="28"/>
              </w:rPr>
              <w:t>，培育挂牌上市企业5</w:t>
            </w:r>
            <w:r>
              <w:rPr>
                <w:rFonts w:hint="eastAsia" w:ascii="Times New Roman" w:hAnsi="Times New Roman" w:eastAsia="仿宋_GB2312"/>
                <w:sz w:val="28"/>
                <w:szCs w:val="28"/>
              </w:rPr>
              <w:t>户</w:t>
            </w:r>
            <w:r>
              <w:rPr>
                <w:rFonts w:ascii="Times New Roman" w:hAnsi="Times New Roman" w:eastAsia="仿宋_GB2312"/>
                <w:sz w:val="28"/>
                <w:szCs w:val="28"/>
              </w:rPr>
              <w:t>，战略性新兴产业企业超40</w:t>
            </w:r>
            <w:r>
              <w:rPr>
                <w:rFonts w:hint="eastAsia" w:ascii="Times New Roman" w:hAnsi="Times New Roman" w:eastAsia="仿宋_GB2312"/>
                <w:sz w:val="28"/>
                <w:szCs w:val="28"/>
              </w:rPr>
              <w:t>户</w:t>
            </w:r>
            <w:r>
              <w:rPr>
                <w:rFonts w:ascii="Times New Roman" w:hAnsi="Times New Roman" w:eastAsia="仿宋_GB2312"/>
                <w:sz w:val="28"/>
                <w:szCs w:val="28"/>
              </w:rPr>
              <w:t>。全区新材料产业体系链基本成熟，产业布局和调整效果显著。</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智能制造产业。</w:t>
            </w:r>
            <w:r>
              <w:rPr>
                <w:rFonts w:ascii="Times New Roman" w:hAnsi="Times New Roman" w:eastAsia="仿宋_GB2312"/>
                <w:sz w:val="28"/>
                <w:szCs w:val="28"/>
              </w:rPr>
              <w:t>到2025年，力争智能制造产业总产值达到60亿元，实现税收3亿元，年均增长18%以上，总产值5亿元以上1家，其中达到10亿元的1</w:t>
            </w:r>
            <w:r>
              <w:rPr>
                <w:rFonts w:hint="eastAsia" w:ascii="Times New Roman" w:hAnsi="Times New Roman" w:eastAsia="仿宋_GB2312"/>
                <w:sz w:val="28"/>
                <w:szCs w:val="28"/>
              </w:rPr>
              <w:t>户</w:t>
            </w:r>
            <w:r>
              <w:rPr>
                <w:rFonts w:ascii="Times New Roman" w:hAnsi="Times New Roman" w:eastAsia="仿宋_GB2312"/>
                <w:sz w:val="28"/>
                <w:szCs w:val="28"/>
              </w:rPr>
              <w:t>，高新技术企业超20</w:t>
            </w:r>
            <w:r>
              <w:rPr>
                <w:rFonts w:hint="eastAsia" w:ascii="Times New Roman" w:hAnsi="Times New Roman" w:eastAsia="仿宋_GB2312"/>
                <w:sz w:val="28"/>
                <w:szCs w:val="28"/>
              </w:rPr>
              <w:t>户</w:t>
            </w:r>
            <w:r>
              <w:rPr>
                <w:rFonts w:ascii="Times New Roman" w:hAnsi="Times New Roman" w:eastAsia="仿宋_GB2312"/>
                <w:sz w:val="28"/>
                <w:szCs w:val="28"/>
              </w:rPr>
              <w:t>，培育挂牌上市企业2</w:t>
            </w:r>
            <w:r>
              <w:rPr>
                <w:rFonts w:hint="eastAsia" w:ascii="Times New Roman" w:hAnsi="Times New Roman" w:eastAsia="仿宋_GB2312"/>
                <w:sz w:val="28"/>
                <w:szCs w:val="28"/>
              </w:rPr>
              <w:t>户</w:t>
            </w:r>
            <w:r>
              <w:rPr>
                <w:rFonts w:ascii="Times New Roman" w:hAnsi="Times New Roman" w:eastAsia="仿宋_GB2312"/>
                <w:sz w:val="28"/>
                <w:szCs w:val="28"/>
              </w:rPr>
              <w:t>，战略性新兴产业企业超15</w:t>
            </w:r>
            <w:r>
              <w:rPr>
                <w:rFonts w:hint="eastAsia" w:ascii="Times New Roman" w:hAnsi="Times New Roman" w:eastAsia="仿宋_GB2312"/>
                <w:sz w:val="28"/>
                <w:szCs w:val="28"/>
              </w:rPr>
              <w:t>户，</w:t>
            </w:r>
            <w:r>
              <w:rPr>
                <w:rFonts w:ascii="Times New Roman" w:hAnsi="Times New Roman" w:eastAsia="仿宋_GB2312"/>
                <w:sz w:val="28"/>
                <w:szCs w:val="28"/>
              </w:rPr>
              <w:t>形成一批高度集聚的“专、精、特、新”专业化智能制造企业。</w:t>
            </w:r>
          </w:p>
          <w:p>
            <w:pPr>
              <w:ind w:firstLine="562" w:firstLineChars="200"/>
              <w:rPr>
                <w:rFonts w:ascii="Times New Roman" w:hAnsi="Times New Roman"/>
                <w:sz w:val="32"/>
                <w:szCs w:val="32"/>
              </w:rPr>
            </w:pPr>
            <w:r>
              <w:rPr>
                <w:rFonts w:ascii="Times New Roman" w:hAnsi="Times New Roman" w:eastAsia="仿宋_GB2312"/>
                <w:b/>
                <w:bCs/>
                <w:sz w:val="28"/>
                <w:szCs w:val="28"/>
              </w:rPr>
              <w:t>绿色食品产业。</w:t>
            </w:r>
            <w:r>
              <w:rPr>
                <w:rFonts w:ascii="Times New Roman" w:hAnsi="Times New Roman" w:eastAsia="仿宋_GB2312"/>
                <w:sz w:val="28"/>
                <w:szCs w:val="28"/>
              </w:rPr>
              <w:t>到2025年，力争绿色食品工业产值达到25亿元，实现税收5000万元，实现入库税收5000万元，年均增长20%以上。总产值5亿元以上1</w:t>
            </w:r>
            <w:r>
              <w:rPr>
                <w:rFonts w:hint="eastAsia" w:ascii="Times New Roman" w:hAnsi="Times New Roman" w:eastAsia="仿宋_GB2312"/>
                <w:sz w:val="28"/>
                <w:szCs w:val="28"/>
              </w:rPr>
              <w:t>户</w:t>
            </w:r>
            <w:r>
              <w:rPr>
                <w:rFonts w:ascii="Times New Roman" w:hAnsi="Times New Roman" w:eastAsia="仿宋_GB2312"/>
                <w:sz w:val="28"/>
                <w:szCs w:val="28"/>
              </w:rPr>
              <w:t>，高新技术企业超4</w:t>
            </w:r>
            <w:r>
              <w:rPr>
                <w:rFonts w:hint="eastAsia" w:ascii="Times New Roman" w:hAnsi="Times New Roman" w:eastAsia="仿宋_GB2312"/>
                <w:sz w:val="28"/>
                <w:szCs w:val="28"/>
              </w:rPr>
              <w:t>户</w:t>
            </w:r>
            <w:r>
              <w:rPr>
                <w:rFonts w:ascii="Times New Roman" w:hAnsi="Times New Roman" w:eastAsia="仿宋_GB2312"/>
                <w:sz w:val="28"/>
                <w:szCs w:val="28"/>
              </w:rPr>
              <w:t>，培育挂牌上市企业1</w:t>
            </w:r>
            <w:r>
              <w:rPr>
                <w:rFonts w:hint="eastAsia" w:ascii="Times New Roman" w:hAnsi="Times New Roman" w:eastAsia="仿宋_GB2312"/>
                <w:sz w:val="28"/>
                <w:szCs w:val="28"/>
              </w:rPr>
              <w:t>户</w:t>
            </w:r>
            <w:r>
              <w:rPr>
                <w:rFonts w:ascii="Times New Roman" w:hAnsi="Times New Roman" w:eastAsia="仿宋_GB2312"/>
                <w:sz w:val="28"/>
                <w:szCs w:val="28"/>
              </w:rPr>
              <w:t>，战略性新兴产业企业实现零突破。</w:t>
            </w:r>
          </w:p>
        </w:tc>
      </w:tr>
    </w:tbl>
    <w:p>
      <w:pPr>
        <w:pStyle w:val="11"/>
        <w:ind w:firstLine="210"/>
        <w:rPr>
          <w:rFonts w:ascii="Times New Roman" w:hAnsi="Times New Roman"/>
        </w:rPr>
      </w:pPr>
    </w:p>
    <w:p>
      <w:pPr>
        <w:pStyle w:val="11"/>
        <w:ind w:firstLine="210"/>
        <w:rPr>
          <w:rFonts w:ascii="Times New Roman" w:hAnsi="Times New Roman"/>
        </w:rPr>
      </w:pPr>
    </w:p>
    <w:p>
      <w:pPr>
        <w:pStyle w:val="3"/>
        <w:jc w:val="center"/>
        <w:rPr>
          <w:rFonts w:ascii="Times New Roman" w:hAnsi="Times New Roman" w:eastAsia="楷体_GB2312"/>
          <w:sz w:val="36"/>
          <w:szCs w:val="36"/>
        </w:rPr>
      </w:pPr>
      <w:bookmarkStart w:id="16" w:name="_Toc29770"/>
      <w:r>
        <w:rPr>
          <w:rFonts w:ascii="Times New Roman" w:hAnsi="Times New Roman" w:eastAsia="楷体_GB2312"/>
          <w:sz w:val="36"/>
          <w:szCs w:val="36"/>
        </w:rPr>
        <w:t>第二节  培育壮大战新高新产业</w:t>
      </w:r>
      <w:bookmarkEnd w:id="16"/>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把未来产业发展与战新高新产业基础紧密结合，做实招大引强培育增量、转型升级优化存量、前沿导向提升质量、产业整合壮大总量等关键路径，推动战新产业规模集聚化、高新产业融合生态化发展，保持战新、高新产值规模走在全市前列。</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壮大战新产业规模。</w:t>
      </w:r>
      <w:r>
        <w:rPr>
          <w:rFonts w:ascii="Times New Roman" w:hAnsi="Times New Roman" w:eastAsia="仿宋_GB2312"/>
          <w:sz w:val="32"/>
          <w:szCs w:val="32"/>
        </w:rPr>
        <w:t>实施战略性新兴产业培育增长计划，持续提升对全区产业发展的贡献度。聚焦新材料首位产业，支持</w:t>
      </w:r>
      <w:r>
        <w:rPr>
          <w:rFonts w:hint="eastAsia" w:ascii="Times New Roman" w:hAnsi="Times New Roman" w:eastAsia="仿宋_GB2312"/>
          <w:sz w:val="32"/>
          <w:szCs w:val="32"/>
        </w:rPr>
        <w:t>重点</w:t>
      </w:r>
      <w:r>
        <w:rPr>
          <w:rFonts w:ascii="Times New Roman" w:hAnsi="Times New Roman" w:eastAsia="仿宋_GB2312"/>
          <w:sz w:val="32"/>
          <w:szCs w:val="32"/>
        </w:rPr>
        <w:t>企业向5G半导体材料、电子化学材料、工程塑料材料等产业链高端延伸，主攻特色推进产业链现代化，提升省市战略性新兴产业工程</w:t>
      </w:r>
      <w:r>
        <w:rPr>
          <w:rFonts w:hint="eastAsia" w:ascii="Times New Roman" w:hAnsi="Times New Roman" w:eastAsia="仿宋_GB2312"/>
          <w:sz w:val="32"/>
          <w:szCs w:val="32"/>
        </w:rPr>
        <w:t>（</w:t>
      </w:r>
      <w:r>
        <w:rPr>
          <w:rFonts w:ascii="Times New Roman" w:hAnsi="Times New Roman" w:eastAsia="仿宋_GB2312"/>
          <w:sz w:val="32"/>
          <w:szCs w:val="32"/>
        </w:rPr>
        <w:t>基地</w:t>
      </w:r>
      <w:r>
        <w:rPr>
          <w:rFonts w:hint="eastAsia" w:ascii="Times New Roman" w:hAnsi="Times New Roman" w:eastAsia="仿宋_GB2312"/>
          <w:sz w:val="32"/>
          <w:szCs w:val="32"/>
        </w:rPr>
        <w:t>）</w:t>
      </w:r>
      <w:r>
        <w:rPr>
          <w:rFonts w:ascii="Times New Roman" w:hAnsi="Times New Roman" w:eastAsia="仿宋_GB2312"/>
          <w:sz w:val="32"/>
          <w:szCs w:val="32"/>
        </w:rPr>
        <w:t>建设水平，建成在国内国际具有一定影响力的新材料集聚基地。提升装备制造重点产业，鼓励参与新一代信息技术、高端装备制造、新能源汽车等新兴产业和重点企业协作，提高智能制造集聚发展能力，积极努力打造长三角有影响力的智能制造产业集群。大力发展生物大健康产业，加快发展中成药研制和生物萃取、开发品牌康健和养生食品产业，培育发展医学美容、高端专科医疗、微医互联网、养疗街区等新型文旅康养业态。完善战略性新兴产业“专项</w:t>
      </w:r>
      <w:r>
        <w:rPr>
          <w:rFonts w:hint="eastAsia" w:ascii="Times New Roman" w:hAnsi="Times New Roman" w:eastAsia="仿宋_GB2312"/>
          <w:sz w:val="32"/>
          <w:szCs w:val="32"/>
        </w:rPr>
        <w:t>—</w:t>
      </w:r>
      <w:r>
        <w:rPr>
          <w:rFonts w:ascii="Times New Roman" w:hAnsi="Times New Roman" w:eastAsia="仿宋_GB2312"/>
          <w:sz w:val="32"/>
          <w:szCs w:val="32"/>
        </w:rPr>
        <w:t>工程</w:t>
      </w:r>
      <w:r>
        <w:rPr>
          <w:rFonts w:hint="eastAsia" w:ascii="Times New Roman" w:hAnsi="Times New Roman" w:eastAsia="仿宋_GB2312"/>
          <w:sz w:val="32"/>
          <w:szCs w:val="32"/>
        </w:rPr>
        <w:t>—</w:t>
      </w:r>
      <w:r>
        <w:rPr>
          <w:rFonts w:ascii="Times New Roman" w:hAnsi="Times New Roman" w:eastAsia="仿宋_GB2312"/>
          <w:sz w:val="32"/>
          <w:szCs w:val="32"/>
        </w:rPr>
        <w:t>基地</w:t>
      </w:r>
      <w:r>
        <w:rPr>
          <w:rFonts w:hint="eastAsia" w:ascii="Times New Roman" w:hAnsi="Times New Roman" w:eastAsia="仿宋_GB2312"/>
          <w:sz w:val="32"/>
          <w:szCs w:val="32"/>
        </w:rPr>
        <w:t>—</w:t>
      </w:r>
      <w:r>
        <w:rPr>
          <w:rFonts w:ascii="Times New Roman" w:hAnsi="Times New Roman" w:eastAsia="仿宋_GB2312"/>
          <w:sz w:val="32"/>
          <w:szCs w:val="32"/>
        </w:rPr>
        <w:t>集群”梯次培育，力争高端装备制造、功能新材料等跻入省市新兴产业专项、工程和特色产业集群</w:t>
      </w:r>
      <w:r>
        <w:rPr>
          <w:rFonts w:hint="eastAsia" w:ascii="Times New Roman" w:hAnsi="Times New Roman" w:eastAsia="仿宋_GB2312"/>
          <w:sz w:val="32"/>
          <w:szCs w:val="32"/>
        </w:rPr>
        <w:t>。</w:t>
      </w:r>
    </w:p>
    <w:p>
      <w:pPr>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加快</w:t>
      </w:r>
      <w:r>
        <w:rPr>
          <w:rFonts w:ascii="Times New Roman" w:hAnsi="Times New Roman" w:eastAsia="仿宋_GB2312"/>
          <w:b/>
          <w:bCs/>
          <w:sz w:val="32"/>
          <w:szCs w:val="32"/>
        </w:rPr>
        <w:t>高新</w:t>
      </w:r>
      <w:r>
        <w:rPr>
          <w:rFonts w:hint="eastAsia" w:ascii="Times New Roman" w:hAnsi="Times New Roman" w:eastAsia="仿宋_GB2312"/>
          <w:b/>
          <w:bCs/>
          <w:sz w:val="32"/>
          <w:szCs w:val="32"/>
        </w:rPr>
        <w:t>技术</w:t>
      </w:r>
      <w:r>
        <w:rPr>
          <w:rFonts w:ascii="Times New Roman" w:hAnsi="Times New Roman" w:eastAsia="仿宋_GB2312"/>
          <w:b/>
          <w:bCs/>
          <w:sz w:val="32"/>
          <w:szCs w:val="32"/>
        </w:rPr>
        <w:t>产业</w:t>
      </w:r>
      <w:r>
        <w:rPr>
          <w:rFonts w:hint="eastAsia" w:ascii="Times New Roman" w:hAnsi="Times New Roman" w:eastAsia="仿宋_GB2312"/>
          <w:b/>
          <w:bCs/>
          <w:sz w:val="32"/>
          <w:szCs w:val="32"/>
        </w:rPr>
        <w:t>发展</w:t>
      </w:r>
      <w:r>
        <w:rPr>
          <w:rFonts w:ascii="Times New Roman" w:hAnsi="Times New Roman" w:eastAsia="仿宋_GB2312"/>
          <w:b/>
          <w:bCs/>
          <w:sz w:val="32"/>
          <w:szCs w:val="32"/>
        </w:rPr>
        <w:t>。</w:t>
      </w:r>
      <w:r>
        <w:rPr>
          <w:rFonts w:ascii="Times New Roman" w:hAnsi="Times New Roman" w:eastAsia="仿宋_GB2312"/>
          <w:sz w:val="32"/>
          <w:szCs w:val="32"/>
        </w:rPr>
        <w:t>完善高新企业培育库，加大省科技型中小企业扶持，按照初创期、成长期和成熟期建立“一库一企一档一方案”，鼓励科技咨询、知识产权代理、会计师事务所等中介机构来徽为相关企业开展认定、申报辅导开展专业化服务，力争成熟期企业1年内、成长期企业2</w:t>
      </w:r>
      <w:r>
        <w:rPr>
          <w:rFonts w:hint="eastAsia" w:ascii="Times New Roman" w:hAnsi="Times New Roman" w:eastAsia="仿宋_GB2312"/>
          <w:sz w:val="32"/>
          <w:szCs w:val="32"/>
        </w:rPr>
        <w:t>—</w:t>
      </w:r>
      <w:r>
        <w:rPr>
          <w:rFonts w:ascii="Times New Roman" w:hAnsi="Times New Roman" w:eastAsia="仿宋_GB2312"/>
          <w:sz w:val="32"/>
          <w:szCs w:val="32"/>
        </w:rPr>
        <w:t>3年内成长为国家级高新企业。大力推进企业加快知识产</w:t>
      </w:r>
      <w:r>
        <w:rPr>
          <w:rFonts w:hint="eastAsia" w:ascii="Times New Roman" w:hAnsi="Times New Roman" w:eastAsia="仿宋_GB2312"/>
          <w:sz w:val="32"/>
          <w:szCs w:val="32"/>
        </w:rPr>
        <w:t>权</w:t>
      </w:r>
      <w:r>
        <w:rPr>
          <w:rFonts w:ascii="Times New Roman" w:hAnsi="Times New Roman" w:eastAsia="仿宋_GB2312"/>
          <w:sz w:val="32"/>
          <w:szCs w:val="32"/>
        </w:rPr>
        <w:t>贯标，组建共建各类研发创新平台，引进一批领军型创新创业团队、产业契合的科技型企业项目，重点发展新材料、先进制造与自动化、生物技术、资源与环境等国家重点支持高新技术领域，支持传统企业转型升级，积极争创“双创”基地国家级众创空间，推动我区制造业向</w:t>
      </w:r>
      <w:r>
        <w:rPr>
          <w:rFonts w:hint="eastAsia" w:ascii="Times New Roman" w:hAnsi="Times New Roman" w:eastAsia="仿宋_GB2312"/>
          <w:sz w:val="32"/>
          <w:szCs w:val="32"/>
        </w:rPr>
        <w:t>整体水平提升</w:t>
      </w:r>
      <w:r>
        <w:rPr>
          <w:rFonts w:ascii="Times New Roman" w:hAnsi="Times New Roman" w:eastAsia="仿宋_GB2312"/>
          <w:sz w:val="32"/>
          <w:szCs w:val="32"/>
        </w:rPr>
        <w:t>。</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积极培育数字经济。</w:t>
      </w:r>
      <w:r>
        <w:rPr>
          <w:rFonts w:ascii="Times New Roman" w:hAnsi="Times New Roman" w:eastAsia="仿宋_GB2312"/>
          <w:sz w:val="32"/>
          <w:szCs w:val="32"/>
        </w:rPr>
        <w:t>落实加快建设“数字江淮”决策部署，研究制定推进5G产业链、大数据、物联网和新业态发展产业扶持政策。聚焦5G产业链发展，大力推进数字产业化和产业数字化，推进智能制造工程和制造业数字化转型，推动数字经济和实体经济深度融合，鼓励建立创新应用试验场、产业孵化器和场景试验室，实施物联网示范应用项目，培育一批制造业和互联网融合示范企业，建成一批省级以上智能工厂和数字车间。优化数字经济应用，丰富数字产业新业态新模式，推进人工智能、5G、互联网、大数据、区块链与现代农业、智能制造、文旅产业、民生服务等深度融合，打造一批线上经济品牌和服务，扩大“企业云”“商务云”“政务云”运用，提升智能制造、商务服务、政府政务、社会治理、城市管理、生活消费等数字化智能化水平</w:t>
      </w:r>
      <w:r>
        <w:rPr>
          <w:rFonts w:hint="eastAsia" w:ascii="Times New Roman" w:hAnsi="Times New Roman" w:eastAsia="仿宋_GB2312"/>
          <w:sz w:val="32"/>
          <w:szCs w:val="32"/>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tcPr>
          <w:p>
            <w:pPr>
              <w:pStyle w:val="4"/>
              <w:jc w:val="center"/>
              <w:rPr>
                <w:rFonts w:ascii="Times New Roman" w:hAnsi="Times New Roman"/>
                <w:b/>
                <w:bCs/>
                <w:color w:val="auto"/>
                <w:sz w:val="32"/>
                <w:szCs w:val="32"/>
              </w:rPr>
            </w:pPr>
            <w:bookmarkStart w:id="17" w:name="_Toc20258"/>
            <w:r>
              <w:rPr>
                <w:rFonts w:ascii="Times New Roman" w:hAnsi="Times New Roman"/>
                <w:b/>
                <w:bCs/>
                <w:color w:val="auto"/>
                <w:sz w:val="32"/>
                <w:szCs w:val="32"/>
              </w:rPr>
              <w:t>专栏5  战新高新高质量发展工程</w:t>
            </w:r>
            <w:bookmarkEnd w:id="17"/>
          </w:p>
          <w:p>
            <w:pPr>
              <w:ind w:firstLine="560" w:firstLineChars="200"/>
              <w:rPr>
                <w:rFonts w:ascii="Times New Roman" w:hAnsi="Times New Roman" w:eastAsia="仿宋_GB2312"/>
                <w:sz w:val="28"/>
                <w:szCs w:val="28"/>
              </w:rPr>
            </w:pPr>
          </w:p>
          <w:p>
            <w:pPr>
              <w:ind w:firstLine="560" w:firstLineChars="200"/>
              <w:rPr>
                <w:rFonts w:ascii="Times New Roman" w:hAnsi="Times New Roman" w:eastAsia="仿宋_GB2312"/>
                <w:sz w:val="28"/>
                <w:szCs w:val="28"/>
              </w:rPr>
            </w:pPr>
            <w:r>
              <w:rPr>
                <w:rFonts w:ascii="Times New Roman" w:hAnsi="Times New Roman" w:eastAsia="仿宋_GB2312"/>
                <w:sz w:val="28"/>
                <w:szCs w:val="28"/>
              </w:rPr>
              <w:t>新增战略性新兴产业企业15户以上，其中产值超10亿元以上企业5户，战略性新兴产业产值占规上工业产业比重达到60%左右，产值</w:t>
            </w:r>
            <w:r>
              <w:rPr>
                <w:rFonts w:hint="eastAsia" w:ascii="Times New Roman" w:hAnsi="Times New Roman" w:eastAsia="仿宋_GB2312"/>
                <w:sz w:val="28"/>
                <w:szCs w:val="28"/>
              </w:rPr>
              <w:t>超</w:t>
            </w:r>
            <w:r>
              <w:rPr>
                <w:rFonts w:ascii="Times New Roman" w:hAnsi="Times New Roman" w:eastAsia="仿宋_GB2312"/>
                <w:sz w:val="28"/>
                <w:szCs w:val="28"/>
              </w:rPr>
              <w:t>1</w:t>
            </w:r>
            <w:r>
              <w:rPr>
                <w:rFonts w:hint="eastAsia" w:ascii="Times New Roman" w:hAnsi="Times New Roman" w:eastAsia="仿宋_GB2312"/>
                <w:sz w:val="28"/>
                <w:szCs w:val="28"/>
              </w:rPr>
              <w:t>6</w:t>
            </w:r>
            <w:r>
              <w:rPr>
                <w:rFonts w:ascii="Times New Roman" w:hAnsi="Times New Roman" w:eastAsia="仿宋_GB2312"/>
                <w:sz w:val="28"/>
                <w:szCs w:val="28"/>
              </w:rPr>
              <w:t>0亿元，新培育1个市级以上“三重一创”重大专项（工程）。</w:t>
            </w:r>
            <w:r>
              <w:rPr>
                <w:rFonts w:hint="eastAsia" w:ascii="Times New Roman" w:hAnsi="Times New Roman" w:eastAsia="仿宋_GB2312"/>
                <w:sz w:val="28"/>
                <w:szCs w:val="28"/>
              </w:rPr>
              <w:t>“十四五”</w:t>
            </w:r>
            <w:r>
              <w:rPr>
                <w:rFonts w:ascii="Times New Roman" w:hAnsi="Times New Roman" w:eastAsia="仿宋_GB2312"/>
                <w:sz w:val="28"/>
                <w:szCs w:val="28"/>
              </w:rPr>
              <w:t>国家高新技术企业达45户，高新技术产业增加值</w:t>
            </w:r>
            <w:r>
              <w:rPr>
                <w:rFonts w:hint="eastAsia" w:ascii="Times New Roman" w:hAnsi="Times New Roman" w:eastAsia="仿宋_GB2312"/>
                <w:sz w:val="28"/>
                <w:szCs w:val="28"/>
              </w:rPr>
              <w:t>年</w:t>
            </w:r>
            <w:r>
              <w:rPr>
                <w:rFonts w:ascii="Times New Roman" w:hAnsi="Times New Roman" w:eastAsia="仿宋_GB2312"/>
                <w:sz w:val="28"/>
                <w:szCs w:val="28"/>
              </w:rPr>
              <w:t>增长8%以上。积极培育数字经济产业，推进智能制造工程和制造业数字化转型，推动数字经济和实体经济深度融合，鼓励建立创新应用试验场、产业孵化器和场景试验室，实施物联网示范应用项目，培育一批制造业和互联网融合示范企业。</w:t>
            </w:r>
          </w:p>
          <w:p>
            <w:pPr>
              <w:ind w:firstLine="560" w:firstLineChars="200"/>
              <w:rPr>
                <w:rFonts w:ascii="Times New Roman" w:hAnsi="Times New Roman"/>
                <w:sz w:val="32"/>
                <w:szCs w:val="32"/>
              </w:rPr>
            </w:pPr>
            <w:r>
              <w:rPr>
                <w:rFonts w:ascii="Times New Roman" w:hAnsi="Times New Roman" w:eastAsia="仿宋_GB2312"/>
                <w:sz w:val="28"/>
                <w:szCs w:val="28"/>
              </w:rPr>
              <w:t>重点推进产业项目：东远年产7.5万吨PET发泡芯材、永新</w:t>
            </w:r>
            <w:r>
              <w:rPr>
                <w:rFonts w:hint="eastAsia" w:ascii="Times New Roman" w:hAnsi="Times New Roman" w:eastAsia="仿宋_GB2312"/>
                <w:sz w:val="28"/>
                <w:szCs w:val="28"/>
              </w:rPr>
              <w:t>年产8万吨</w:t>
            </w:r>
            <w:r>
              <w:rPr>
                <w:rFonts w:ascii="Times New Roman" w:hAnsi="Times New Roman" w:eastAsia="仿宋_GB2312"/>
                <w:sz w:val="28"/>
                <w:szCs w:val="28"/>
              </w:rPr>
              <w:t>新型包装材料、至德聚烯烃交联改性收缩膜、瑞亿装饰用PVC压延薄膜、尚傅年产5万吨高性</w:t>
            </w:r>
            <w:r>
              <w:rPr>
                <w:rFonts w:hint="eastAsia" w:ascii="Times New Roman" w:hAnsi="Times New Roman" w:eastAsia="仿宋_GB2312"/>
                <w:sz w:val="28"/>
                <w:szCs w:val="28"/>
              </w:rPr>
              <w:t>能</w:t>
            </w:r>
            <w:r>
              <w:rPr>
                <w:rFonts w:ascii="Times New Roman" w:hAnsi="Times New Roman" w:eastAsia="仿宋_GB2312"/>
                <w:sz w:val="28"/>
                <w:szCs w:val="28"/>
              </w:rPr>
              <w:t>改性材料、汇杰</w:t>
            </w:r>
            <w:r>
              <w:rPr>
                <w:rFonts w:hint="eastAsia" w:ascii="Times New Roman" w:hAnsi="Times New Roman" w:eastAsia="仿宋_GB2312"/>
                <w:sz w:val="28"/>
                <w:szCs w:val="28"/>
              </w:rPr>
              <w:t>年产4万吨胶粘剂</w:t>
            </w:r>
            <w:r>
              <w:rPr>
                <w:rFonts w:ascii="Times New Roman" w:hAnsi="Times New Roman" w:eastAsia="仿宋_GB2312"/>
                <w:sz w:val="28"/>
                <w:szCs w:val="28"/>
              </w:rPr>
              <w:t>、金石木特种工程材料、华惠高性能特种树脂项目、华惠电子级TGIC扩产、新远特种化学品及丙烯酸树脂、泰达偏苯三酸酐扩建、锦峰TGIC技术升级</w:t>
            </w:r>
            <w:r>
              <w:rPr>
                <w:rFonts w:hint="eastAsia" w:ascii="Times New Roman" w:hAnsi="Times New Roman" w:eastAsia="仿宋_GB2312"/>
                <w:sz w:val="28"/>
                <w:szCs w:val="28"/>
              </w:rPr>
              <w:t>等；</w:t>
            </w:r>
            <w:r>
              <w:rPr>
                <w:rFonts w:ascii="Times New Roman" w:hAnsi="Times New Roman" w:eastAsia="仿宋_GB2312"/>
                <w:sz w:val="28"/>
                <w:szCs w:val="28"/>
              </w:rPr>
              <w:t>新诺精工智能</w:t>
            </w:r>
            <w:r>
              <w:rPr>
                <w:rFonts w:hint="eastAsia" w:ascii="Times New Roman" w:hAnsi="Times New Roman" w:eastAsia="仿宋_GB2312"/>
                <w:sz w:val="28"/>
                <w:szCs w:val="28"/>
              </w:rPr>
              <w:t>制造产业园</w:t>
            </w:r>
            <w:r>
              <w:rPr>
                <w:rFonts w:ascii="Times New Roman" w:hAnsi="Times New Roman" w:eastAsia="仿宋_GB2312"/>
                <w:sz w:val="28"/>
                <w:szCs w:val="28"/>
              </w:rPr>
              <w:t>、沿浦泓盛、万博雷森汽车减震复合材料、江淮汽车紧固件、谷捷IGBT铜底板扩建改造、奔马离合器总成升级、世茂智能熔模铸造机器人</w:t>
            </w:r>
            <w:r>
              <w:rPr>
                <w:rFonts w:hint="eastAsia" w:ascii="Times New Roman" w:hAnsi="Times New Roman" w:eastAsia="仿宋_GB2312"/>
                <w:sz w:val="28"/>
                <w:szCs w:val="28"/>
              </w:rPr>
              <w:t>等；</w:t>
            </w:r>
            <w:r>
              <w:rPr>
                <w:rFonts w:ascii="Times New Roman" w:hAnsi="Times New Roman" w:eastAsia="仿宋_GB2312"/>
                <w:sz w:val="28"/>
                <w:szCs w:val="28"/>
              </w:rPr>
              <w:t>徽客坊徽州特色农副产品生产加工、中茶谢裕大（黄山）系列名优茶标准化生产及产业化发展项目、无极雪矿泉水、黄盛铁皮石</w:t>
            </w:r>
            <w:r>
              <w:rPr>
                <w:rFonts w:hint="eastAsia" w:ascii="Times New Roman" w:hAnsi="Times New Roman" w:eastAsia="仿宋_GB2312"/>
                <w:sz w:val="28"/>
                <w:szCs w:val="28"/>
              </w:rPr>
              <w:t>斛</w:t>
            </w:r>
            <w:r>
              <w:rPr>
                <w:rFonts w:ascii="Times New Roman" w:hAnsi="Times New Roman" w:eastAsia="仿宋_GB2312"/>
                <w:sz w:val="28"/>
                <w:szCs w:val="28"/>
              </w:rPr>
              <w:t>精深加工、赏友花业新式茶饮生产、南京同仁堂黄山精制药业中成药提升、皖南花猪地方品种保护改良等；徽州区数字文化创意产业园。</w:t>
            </w:r>
          </w:p>
        </w:tc>
      </w:tr>
    </w:tbl>
    <w:p>
      <w:pPr>
        <w:ind w:firstLine="640" w:firstLineChars="200"/>
        <w:rPr>
          <w:rFonts w:ascii="Times New Roman" w:hAnsi="Times New Roman" w:eastAsia="仿宋_GB2312"/>
          <w:sz w:val="32"/>
          <w:szCs w:val="32"/>
        </w:rPr>
      </w:pPr>
    </w:p>
    <w:p>
      <w:pPr>
        <w:pStyle w:val="3"/>
        <w:jc w:val="center"/>
        <w:rPr>
          <w:rFonts w:ascii="Times New Roman" w:hAnsi="Times New Roman" w:eastAsia="楷体_GB2312"/>
          <w:sz w:val="36"/>
          <w:szCs w:val="36"/>
        </w:rPr>
      </w:pPr>
      <w:bookmarkStart w:id="18" w:name="_Toc27633"/>
      <w:r>
        <w:rPr>
          <w:rFonts w:ascii="Times New Roman" w:hAnsi="Times New Roman" w:eastAsia="楷体_GB2312"/>
          <w:sz w:val="36"/>
          <w:szCs w:val="36"/>
        </w:rPr>
        <w:t>第三节  加快发展现代服务业</w:t>
      </w:r>
      <w:bookmarkEnd w:id="18"/>
    </w:p>
    <w:p>
      <w:pPr>
        <w:ind w:firstLine="640" w:firstLineChars="200"/>
        <w:rPr>
          <w:rFonts w:ascii="Times New Roman" w:hAnsi="Times New Roman" w:eastAsia="仿宋_GB2312"/>
          <w:sz w:val="32"/>
          <w:szCs w:val="32"/>
        </w:rPr>
      </w:pPr>
      <w:r>
        <w:rPr>
          <w:rFonts w:ascii="Times New Roman" w:hAnsi="Times New Roman" w:eastAsia="仿宋_GB2312"/>
          <w:sz w:val="32"/>
          <w:szCs w:val="32"/>
        </w:rPr>
        <w:t>深化服务业供给侧结构性改革，支持各类市场主体聚焦产业转型升级和居民消费升级需求，丰富服务业态，扩大有效供给，提高服务品质，促进服务升级，推进服务业提质增效、高质量发展。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积极发展生产性服务业。</w:t>
      </w:r>
      <w:r>
        <w:rPr>
          <w:rFonts w:ascii="Times New Roman" w:hAnsi="Times New Roman" w:eastAsia="仿宋_GB2312"/>
          <w:sz w:val="32"/>
          <w:szCs w:val="32"/>
        </w:rPr>
        <w:t>加快现代服务业与制造业转型升级、现代农业的融合发展，推动生产性服务业向专业化和价值链延伸。依托本地工业实体和双创基地平台，加快发展研发设计、检验检测认证、服务外包、节能环保服务等服务业</w:t>
      </w:r>
      <w:r>
        <w:rPr>
          <w:rFonts w:hint="eastAsia" w:ascii="Times New Roman" w:hAnsi="Times New Roman" w:eastAsia="仿宋_GB2312"/>
          <w:sz w:val="32"/>
          <w:szCs w:val="32"/>
        </w:rPr>
        <w:t>态</w:t>
      </w:r>
      <w:r>
        <w:rPr>
          <w:rFonts w:ascii="Times New Roman" w:hAnsi="Times New Roman" w:eastAsia="仿宋_GB2312"/>
          <w:sz w:val="32"/>
          <w:szCs w:val="32"/>
        </w:rPr>
        <w:t>，支持重点制造业企业推进研发设计中心、重大产业技术平台、售后服务等主辅分离，组建市场化、专业化的法人企业；鼓励国内外500强、央企、上市公司在我区设立实体区域总部企业，开展技术信息、管理咨询、金融商务、人力资源等专业服务；整合跨境电商、国内电商、快递物流、天玺保税“四园合一”，优化城乡物流体系，培育壮大A级以上重点物流企业，积极推进“多式联运”，提高电子商务、货物运输、仓储和邮政快递便利化服务水平。</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扩大丰富生活性服务业。</w:t>
      </w:r>
      <w:r>
        <w:rPr>
          <w:rFonts w:ascii="Times New Roman" w:hAnsi="Times New Roman" w:eastAsia="仿宋_GB2312"/>
          <w:sz w:val="32"/>
          <w:szCs w:val="32"/>
        </w:rPr>
        <w:t>以提升便利度和改善服务体验为导向，加大公益性、基础性服务业供给，推进生活性服务业向高品质和多样化升级。加快发展社区养老、物业家政、医疗保健、文体活动、党群服务、体验消费、品牌连锁</w:t>
      </w:r>
      <w:r>
        <w:rPr>
          <w:rFonts w:hint="eastAsia" w:ascii="Times New Roman" w:hAnsi="Times New Roman" w:eastAsia="仿宋_GB2312"/>
          <w:sz w:val="32"/>
          <w:szCs w:val="32"/>
        </w:rPr>
        <w:t>等</w:t>
      </w:r>
      <w:r>
        <w:rPr>
          <w:rFonts w:ascii="Times New Roman" w:hAnsi="Times New Roman" w:eastAsia="仿宋_GB2312"/>
          <w:sz w:val="32"/>
          <w:szCs w:val="32"/>
        </w:rPr>
        <w:t>服务业态，推进基础性提升、数字智能化改造和跨界融合，打造便民贴心的“15分钟社区生活服务圈”。创建提升省市现代服务业集聚区（示范园区）水平，加大智慧养老、康体疗养、文化创意、医学美容等优质高端服务业态植入和品牌引进，积极打造长三角养老集聚服务“后花园”。</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推进服务领域改革</w:t>
      </w:r>
      <w:r>
        <w:rPr>
          <w:rFonts w:ascii="Times New Roman" w:hAnsi="Times New Roman" w:eastAsia="仿宋_GB2312"/>
          <w:sz w:val="32"/>
          <w:szCs w:val="32"/>
        </w:rPr>
        <w:t>。进一步放宽市场准入，鼓励社会力量扩大多元化多层次服务供给。完善支持服务业发展的政策体系，整合闲置资源和优质资源开发，创新适应服务新业态新模式和产业融合发展需要的土地、财税、金融、价格等政策。完善重点服务领域监管体系，推进本地服务业标准化、品牌化建设。</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4" w:hRule="atLeast"/>
        </w:trPr>
        <w:tc>
          <w:tcPr>
            <w:tcW w:w="10181" w:type="dxa"/>
          </w:tcPr>
          <w:p>
            <w:pPr>
              <w:pStyle w:val="4"/>
              <w:jc w:val="center"/>
              <w:rPr>
                <w:rFonts w:ascii="Times New Roman" w:hAnsi="Times New Roman"/>
                <w:b/>
                <w:bCs/>
                <w:color w:val="auto"/>
                <w:sz w:val="32"/>
                <w:szCs w:val="32"/>
              </w:rPr>
            </w:pPr>
            <w:bookmarkStart w:id="19" w:name="_Toc15981"/>
            <w:r>
              <w:rPr>
                <w:rFonts w:ascii="Times New Roman" w:hAnsi="Times New Roman"/>
                <w:b/>
                <w:bCs/>
                <w:color w:val="auto"/>
                <w:sz w:val="32"/>
                <w:szCs w:val="32"/>
              </w:rPr>
              <w:t>专栏6  现代服务业集聚发展工程</w:t>
            </w:r>
            <w:bookmarkEnd w:id="19"/>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生产性服务业。</w:t>
            </w:r>
            <w:r>
              <w:rPr>
                <w:rFonts w:ascii="Times New Roman" w:hAnsi="Times New Roman" w:eastAsia="仿宋_GB2312"/>
                <w:sz w:val="28"/>
                <w:szCs w:val="28"/>
              </w:rPr>
              <w:t>依托工业实体和双创基地平台，加快发展研发设计、现代物流、电子商务、总部服务等服务业。完善集仓储、冷链、多式联运为一体的现代物流园区，打造提升一批A级物流企业。加快实施区乡（镇）村三级物流体系建设，加大农村电商和跨境电商提质。重点推进项目：双创示范基地、徽州区城乡冷链物流园和跨境电商、国内电商、快递物流、天玺保税“四园合一”等。</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生活性服务业。</w:t>
            </w:r>
            <w:r>
              <w:rPr>
                <w:rFonts w:ascii="Times New Roman" w:hAnsi="Times New Roman" w:eastAsia="仿宋_GB2312"/>
                <w:sz w:val="28"/>
                <w:szCs w:val="28"/>
              </w:rPr>
              <w:t>加快发展现代商贸、节庆会展、社区养老、家政服务、体验消费等服务业态，推进“15分钟社区服务圈”公益便民生活性服务业设施规范化，支持发展无人商超、便利店等零售新模式。</w:t>
            </w:r>
          </w:p>
          <w:p>
            <w:pPr>
              <w:ind w:firstLine="562" w:firstLineChars="200"/>
              <w:rPr>
                <w:rFonts w:ascii="Times New Roman" w:hAnsi="Times New Roman"/>
                <w:sz w:val="32"/>
                <w:szCs w:val="32"/>
              </w:rPr>
            </w:pPr>
            <w:r>
              <w:rPr>
                <w:rFonts w:ascii="Times New Roman" w:hAnsi="Times New Roman" w:eastAsia="仿宋_GB2312"/>
                <w:b/>
                <w:bCs/>
                <w:sz w:val="28"/>
                <w:szCs w:val="28"/>
              </w:rPr>
              <w:t>高品质服务业态。</w:t>
            </w:r>
            <w:r>
              <w:rPr>
                <w:rFonts w:ascii="Times New Roman" w:hAnsi="Times New Roman" w:eastAsia="仿宋_GB2312"/>
                <w:sz w:val="28"/>
                <w:szCs w:val="28"/>
              </w:rPr>
              <w:t>积极打造以潜口为核心长三角养老集聚服务“后花园”，推出一批精品民宿、最美民宿。重点推进项目：院藏徽州、桃李春风、黄山青春谷、远近黄山上庄、龙骏家园、潜口养生服务业集聚示范园区。</w:t>
            </w:r>
          </w:p>
        </w:tc>
      </w:tr>
    </w:tbl>
    <w:p>
      <w:pPr>
        <w:pStyle w:val="11"/>
        <w:ind w:firstLine="320"/>
        <w:rPr>
          <w:rFonts w:ascii="Times New Roman" w:hAnsi="Times New Roman" w:eastAsia="仿宋_GB2312"/>
          <w:sz w:val="32"/>
          <w:szCs w:val="32"/>
        </w:rPr>
      </w:pPr>
    </w:p>
    <w:p>
      <w:pPr>
        <w:pStyle w:val="3"/>
        <w:jc w:val="center"/>
        <w:rPr>
          <w:rFonts w:ascii="Times New Roman" w:hAnsi="Times New Roman" w:eastAsia="楷体_GB2312"/>
          <w:sz w:val="36"/>
          <w:szCs w:val="36"/>
        </w:rPr>
      </w:pPr>
      <w:bookmarkStart w:id="20" w:name="_Toc31085"/>
      <w:r>
        <w:rPr>
          <w:rFonts w:ascii="Times New Roman" w:hAnsi="Times New Roman" w:eastAsia="楷体_GB2312"/>
          <w:sz w:val="36"/>
          <w:szCs w:val="36"/>
        </w:rPr>
        <w:t>第四节  推进开发区改革创新</w:t>
      </w:r>
      <w:bookmarkEnd w:id="20"/>
    </w:p>
    <w:p>
      <w:pPr>
        <w:ind w:firstLine="640" w:firstLineChars="200"/>
        <w:rPr>
          <w:rFonts w:ascii="Times New Roman" w:hAnsi="Times New Roman" w:eastAsia="仿宋_GB2312"/>
          <w:sz w:val="32"/>
          <w:szCs w:val="32"/>
        </w:rPr>
      </w:pPr>
      <w:r>
        <w:rPr>
          <w:rFonts w:ascii="Times New Roman" w:hAnsi="Times New Roman" w:eastAsia="仿宋_GB2312"/>
          <w:sz w:val="32"/>
          <w:szCs w:val="32"/>
        </w:rPr>
        <w:t>把开发区作为经济发展的主战场，加快构建新发展格局，推进开发区转型升级和体制机制创新，完善开发区管理制度和政策体系，着力打造特色鲜明、产业集聚、环境最优、功能完善的全市最佳开发区，力争“十四五”末全区工业总产值达280亿元，工业实体税收实现翻番。</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优化开发区空间布局。</w:t>
      </w:r>
      <w:r>
        <w:rPr>
          <w:rFonts w:ascii="Times New Roman" w:hAnsi="Times New Roman" w:eastAsia="仿宋_GB2312"/>
          <w:sz w:val="32"/>
          <w:szCs w:val="32"/>
        </w:rPr>
        <w:t>编制省级化工园区控制性规划，制订完善“十四五”开发区主导产业规划，优化循环经济园、低碳经济园、城东工业园三大园区产业定位和功能布局，完成开发区区域评价，有序推进循环经济园东扩、低碳经济园北拓，持续实施“用而未尽、建而未投、投而未达标”低效用地清理处置，盘活存量资源“二次效益”，完善园区“三个集中”处理、智慧监管、安全应急、风险管控、循环化改造等功能平台和基础配套，增强园区的综合承载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做强开发区主导产业。</w:t>
      </w:r>
      <w:r>
        <w:rPr>
          <w:rFonts w:ascii="Times New Roman" w:hAnsi="Times New Roman" w:eastAsia="仿宋_GB2312"/>
          <w:sz w:val="32"/>
          <w:szCs w:val="32"/>
        </w:rPr>
        <w:t>深入实施园区转型升级工程和主导产业培育提升工程，全面推进产业集群群长制和产业链链长制，抓好“龙头+配套”发展，实施质量品牌建设，强化延链、补链、延链、强链，培育壮大“市级队”企业规模，培育一批产值超10亿元骨干企业</w:t>
      </w:r>
      <w:r>
        <w:rPr>
          <w:rFonts w:hint="eastAsia" w:ascii="Times New Roman" w:hAnsi="Times New Roman" w:eastAsia="仿宋_GB2312"/>
          <w:sz w:val="32"/>
          <w:szCs w:val="32"/>
        </w:rPr>
        <w:t>。</w:t>
      </w:r>
      <w:r>
        <w:rPr>
          <w:rFonts w:ascii="Times New Roman" w:hAnsi="Times New Roman" w:eastAsia="仿宋_GB2312"/>
          <w:sz w:val="32"/>
          <w:szCs w:val="32"/>
        </w:rPr>
        <w:t>完善产业准入预审和项目招商导则，实施一批产业链关键环节重大项目，健全能耗、水耗、排放标准倒逼机制，推动企业循环式生产、产业循环式组合，实现绿色循环低碳发展，到2025年，开发区达到绿色园区建设标准。健全以“亩均效益”为导向的资源要素优化配置机制，鼓励企业建设多层标准厂房，提高土地集约节</w:t>
      </w:r>
      <w:r>
        <w:rPr>
          <w:rFonts w:hint="eastAsia" w:ascii="Times New Roman" w:hAnsi="Times New Roman" w:eastAsia="仿宋_GB2312"/>
          <w:sz w:val="32"/>
          <w:szCs w:val="32"/>
        </w:rPr>
        <w:t>约</w:t>
      </w:r>
      <w:r>
        <w:rPr>
          <w:rFonts w:ascii="Times New Roman" w:hAnsi="Times New Roman" w:eastAsia="仿宋_GB2312"/>
          <w:sz w:val="32"/>
          <w:szCs w:val="32"/>
        </w:rPr>
        <w:t>利用水平。</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推进开发区体制改革。</w:t>
      </w:r>
      <w:r>
        <w:rPr>
          <w:rFonts w:ascii="Times New Roman" w:hAnsi="Times New Roman" w:eastAsia="仿宋_GB2312"/>
          <w:sz w:val="32"/>
          <w:szCs w:val="32"/>
        </w:rPr>
        <w:t>明确开发区职能定位，理顺开发区职责边界，推进开发区财税体系、统计体制改革，突出经济管理和投资服务职能。优化内部管理架构，积极推行人事及薪酬制度改革，赋予开发区中层及以下人员岗位聘任制自主权，鼓励各级干部到开发</w:t>
      </w:r>
      <w:r>
        <w:rPr>
          <w:rFonts w:hint="eastAsia" w:ascii="Times New Roman" w:hAnsi="Times New Roman" w:eastAsia="仿宋_GB2312"/>
          <w:sz w:val="32"/>
          <w:szCs w:val="32"/>
        </w:rPr>
        <w:t>区</w:t>
      </w:r>
      <w:r>
        <w:rPr>
          <w:rFonts w:ascii="Times New Roman" w:hAnsi="Times New Roman" w:eastAsia="仿宋_GB2312"/>
          <w:sz w:val="32"/>
          <w:szCs w:val="32"/>
        </w:rPr>
        <w:t>任职挂职交流，探索实施特</w:t>
      </w:r>
      <w:r>
        <w:rPr>
          <w:rFonts w:hint="eastAsia" w:ascii="Times New Roman" w:hAnsi="Times New Roman" w:eastAsia="仿宋_GB2312"/>
          <w:sz w:val="32"/>
          <w:szCs w:val="32"/>
        </w:rPr>
        <w:t>列</w:t>
      </w:r>
      <w:r>
        <w:rPr>
          <w:rFonts w:ascii="Times New Roman" w:hAnsi="Times New Roman" w:eastAsia="仿宋_GB2312"/>
          <w:sz w:val="32"/>
          <w:szCs w:val="32"/>
        </w:rPr>
        <w:t>高层管理人员和招商人员特岗特新、特职特薪。建立“管委会+公司”模式，实施园区建设、招商、运营和服务市场化运作。全面推进“标准地”改革，建立健全工业企业要素差别化配置政策。科学编制开发区权责清单，全面推进开发区赋权，加快实现园区项目“一枚公章管审批、一个中心全覆盖”的便利化审批。</w:t>
      </w:r>
    </w:p>
    <w:p>
      <w:pPr>
        <w:ind w:firstLine="640" w:firstLineChars="200"/>
        <w:rPr>
          <w:rFonts w:ascii="Times New Roman" w:hAnsi="Times New Roman" w:eastAsia="仿宋_GB2312"/>
          <w:sz w:val="32"/>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81" w:type="dxa"/>
          </w:tcPr>
          <w:p>
            <w:pPr>
              <w:pStyle w:val="4"/>
              <w:jc w:val="center"/>
              <w:rPr>
                <w:rFonts w:ascii="Times New Roman" w:hAnsi="Times New Roman"/>
                <w:b/>
                <w:bCs/>
                <w:color w:val="auto"/>
                <w:sz w:val="32"/>
                <w:szCs w:val="32"/>
              </w:rPr>
            </w:pPr>
            <w:bookmarkStart w:id="21" w:name="_Toc27012"/>
            <w:r>
              <w:rPr>
                <w:rFonts w:ascii="Times New Roman" w:hAnsi="Times New Roman"/>
                <w:b/>
                <w:bCs/>
                <w:color w:val="auto"/>
                <w:sz w:val="32"/>
                <w:szCs w:val="32"/>
              </w:rPr>
              <w:t>专栏7  开发区改革创新高质量发展工程</w:t>
            </w:r>
            <w:bookmarkEnd w:id="21"/>
          </w:p>
          <w:p>
            <w:pPr>
              <w:spacing w:line="56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园区拓展及集聚发展。</w:t>
            </w:r>
            <w:r>
              <w:rPr>
                <w:rFonts w:ascii="Times New Roman" w:hAnsi="Times New Roman" w:eastAsia="仿宋_GB2312"/>
                <w:sz w:val="28"/>
                <w:szCs w:val="28"/>
              </w:rPr>
              <w:t>推进循环经济园东扩、城北工业园北拓，持续实施园区“五未”清理整治和低效企业“腾笼换鸟”。力争“十四五”末全区规模以上工业企业增至145家以上，形成1个产值超百亿的首位产业，开发区经营性收入320亿元，营收、税收实现翻番，达到绿色园区建设标准。</w:t>
            </w:r>
          </w:p>
          <w:p>
            <w:pPr>
              <w:spacing w:line="560" w:lineRule="exact"/>
              <w:ind w:firstLine="562" w:firstLineChars="200"/>
              <w:rPr>
                <w:rFonts w:ascii="Times New Roman" w:hAnsi="Times New Roman"/>
                <w:sz w:val="32"/>
                <w:szCs w:val="32"/>
              </w:rPr>
            </w:pPr>
            <w:r>
              <w:rPr>
                <w:rFonts w:ascii="Times New Roman" w:hAnsi="Times New Roman" w:eastAsia="仿宋_GB2312"/>
                <w:b/>
                <w:bCs/>
                <w:sz w:val="28"/>
                <w:szCs w:val="28"/>
              </w:rPr>
              <w:t>开发区改革创新。</w:t>
            </w:r>
            <w:r>
              <w:rPr>
                <w:rFonts w:ascii="Times New Roman" w:hAnsi="Times New Roman" w:eastAsia="仿宋_GB2312"/>
                <w:sz w:val="28"/>
                <w:szCs w:val="28"/>
              </w:rPr>
              <w:t>完成开发区人事和薪酬改革，建成“管委会+公司”运营模式，完成财税体制和统计体制改革。动态推进扩大开发区赋权，提升园区统一管理联动机制，全面推进“多规合一”区域评价和“标准地”制度。</w:t>
            </w:r>
          </w:p>
        </w:tc>
      </w:tr>
    </w:tbl>
    <w:p>
      <w:pPr>
        <w:pStyle w:val="11"/>
        <w:ind w:firstLine="210"/>
        <w:rPr>
          <w:rFonts w:ascii="Times New Roman" w:hAnsi="Times New Roman"/>
        </w:rPr>
      </w:pPr>
    </w:p>
    <w:p>
      <w:pPr>
        <w:pStyle w:val="2"/>
        <w:jc w:val="center"/>
        <w:rPr>
          <w:rFonts w:ascii="Times New Roman" w:hAnsi="Times New Roman" w:eastAsia="黑体"/>
          <w:b w:val="0"/>
          <w:bCs/>
          <w:sz w:val="36"/>
          <w:szCs w:val="36"/>
        </w:rPr>
      </w:pPr>
      <w:bookmarkStart w:id="22" w:name="_Toc19629"/>
      <w:r>
        <w:rPr>
          <w:rFonts w:ascii="Times New Roman" w:hAnsi="Times New Roman" w:eastAsia="黑体"/>
          <w:b w:val="0"/>
          <w:bCs/>
          <w:sz w:val="36"/>
          <w:szCs w:val="36"/>
        </w:rPr>
        <w:t>第四章  坚持文旅名区战略  打造具有浓郁吸引力的文旅目的地</w:t>
      </w:r>
      <w:bookmarkEnd w:id="22"/>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坚持创新的发展理念、开放的发展模式，坚持全域化规划、全景区打造、全行业融合，深化旅游品质革命，加速旅游产业转型升级，推动全域旅游深度发展，全面提升徽州旅游的影响力、竞争力和美誉度。</w:t>
      </w:r>
    </w:p>
    <w:p>
      <w:pPr>
        <w:pStyle w:val="3"/>
        <w:jc w:val="center"/>
        <w:rPr>
          <w:rFonts w:ascii="Times New Roman" w:hAnsi="Times New Roman" w:eastAsia="楷体_GB2312"/>
          <w:sz w:val="36"/>
          <w:szCs w:val="36"/>
        </w:rPr>
      </w:pPr>
      <w:bookmarkStart w:id="23" w:name="_Toc1240"/>
      <w:r>
        <w:rPr>
          <w:rFonts w:ascii="Times New Roman" w:hAnsi="Times New Roman" w:eastAsia="楷体_GB2312"/>
          <w:sz w:val="36"/>
          <w:szCs w:val="36"/>
        </w:rPr>
        <w:t>第一节  打响徽州特色旅游品牌</w:t>
      </w:r>
      <w:bookmarkEnd w:id="23"/>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旅游+”发展路线，瞄准长三角旅游大市场，充分发挥区位优势、人文底蕴、自然生态，积极培育旅游新业态，加大多业融合和整体营销，打造一批富有知名度和美誉度的赛事“IP”、特色文旅产品、精品旅游线路，打响“相约徽州、乐享山水”品牌。</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休闲康养。</w:t>
      </w:r>
      <w:r>
        <w:rPr>
          <w:rFonts w:ascii="Times New Roman" w:hAnsi="Times New Roman" w:eastAsia="仿宋_GB2312"/>
          <w:sz w:val="32"/>
          <w:szCs w:val="32"/>
        </w:rPr>
        <w:t>依托潜口养生小镇和省级服务业集聚示范</w:t>
      </w:r>
      <w:r>
        <w:rPr>
          <w:rFonts w:hint="eastAsia" w:ascii="Times New Roman" w:hAnsi="Times New Roman" w:eastAsia="仿宋_GB2312"/>
          <w:sz w:val="32"/>
          <w:szCs w:val="32"/>
        </w:rPr>
        <w:t>园</w:t>
      </w:r>
      <w:r>
        <w:rPr>
          <w:rFonts w:ascii="Times New Roman" w:hAnsi="Times New Roman" w:eastAsia="仿宋_GB2312"/>
          <w:sz w:val="32"/>
          <w:szCs w:val="32"/>
        </w:rPr>
        <w:t>区，加强与优质疗养机构、医疗机构和旅游服务机构合作，推进区块内建设项目融入度假疗休养、中医养生、膳食调理、微创美容、互联网微医等多业态产品，深化“新安医学”应用，支持发展康养新产业、新业态和新模式，提供多元化服务供给，打造一批特色康养板块、疗休养基地、中医美食街区、体验场馆，积极争创省级康养类度假区。</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研学旅修。</w:t>
      </w:r>
      <w:r>
        <w:rPr>
          <w:rFonts w:ascii="Times New Roman" w:hAnsi="Times New Roman" w:eastAsia="仿宋_GB2312"/>
          <w:sz w:val="32"/>
          <w:szCs w:val="32"/>
        </w:rPr>
        <w:t>充分挖掘徽文化、古徽建筑的资源价值，借助呈坎研学小镇、土人学社以及优秀传统文化、自然生态、综合实践类研学旅行基地，加强与重点研学机构、重点</w:t>
      </w:r>
      <w:r>
        <w:rPr>
          <w:rFonts w:hint="eastAsia" w:ascii="Times New Roman" w:hAnsi="Times New Roman" w:eastAsia="仿宋_GB2312"/>
          <w:sz w:val="32"/>
          <w:szCs w:val="32"/>
        </w:rPr>
        <w:t>文旅</w:t>
      </w:r>
      <w:r>
        <w:rPr>
          <w:rFonts w:ascii="Times New Roman" w:hAnsi="Times New Roman" w:eastAsia="仿宋_GB2312"/>
          <w:sz w:val="32"/>
          <w:szCs w:val="32"/>
        </w:rPr>
        <w:t>企业合作，深化研学品牌打造，开发特色化、不同主题的研学精品课程产品和旅游线路，完善研学配套功能设施，推进自驾车营地盘活，建设精品研学旅行营地，不断提升徽州研学游品牌的知名度和影响力，打造“研、学、游、吃、住、行”于一体的研学营地（基地）标准化创建。</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红色传承。</w:t>
      </w:r>
      <w:r>
        <w:rPr>
          <w:rFonts w:ascii="Times New Roman" w:hAnsi="Times New Roman" w:eastAsia="仿宋_GB2312"/>
          <w:sz w:val="32"/>
          <w:szCs w:val="32"/>
        </w:rPr>
        <w:t>高举“弘扬铁军精神”“守初心使命”红色品牌，完善岩寺新四军军部旧址纪念馆功能，积极挖掘“铁军”精神内涵，加大数字化运用，积极纳入全国性、区域性的红色精品线路、党史教育精品线路。加快小练、琶塘、碣石等红色资源开发，丰富情景模拟、实物展示、现场体验、社会实践等载体，及时发现、精心培育涌现出的新景观、新</w:t>
      </w:r>
      <w:r>
        <w:rPr>
          <w:rFonts w:hint="eastAsia" w:ascii="Times New Roman" w:hAnsi="Times New Roman" w:eastAsia="仿宋_GB2312"/>
          <w:sz w:val="32"/>
          <w:szCs w:val="32"/>
        </w:rPr>
        <w:t>业态</w:t>
      </w:r>
      <w:r>
        <w:rPr>
          <w:rFonts w:ascii="Times New Roman" w:hAnsi="Times New Roman" w:eastAsia="仿宋_GB2312"/>
          <w:sz w:val="32"/>
          <w:szCs w:val="32"/>
        </w:rPr>
        <w:t>、新典型红色资源，积极拓展红色品牌发展空间</w:t>
      </w:r>
      <w:r>
        <w:rPr>
          <w:rFonts w:hint="eastAsia" w:ascii="Times New Roman" w:hAnsi="Times New Roman" w:eastAsia="仿宋_GB2312"/>
          <w:sz w:val="32"/>
          <w:szCs w:val="32"/>
        </w:rPr>
        <w:t>。</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民俗文化。</w:t>
      </w:r>
      <w:r>
        <w:rPr>
          <w:rFonts w:ascii="Times New Roman" w:hAnsi="Times New Roman" w:eastAsia="仿宋_GB2312"/>
          <w:sz w:val="32"/>
          <w:szCs w:val="32"/>
        </w:rPr>
        <w:t>充分利用本土文化元素，深化节庆民俗活动文化内涵，扩容社会民间文化队伍，培育、策划涵盖文化体验、农事参与、特色采摘、庙会集会、传承展示等多个板块大型群众性品牌节庆活动，唱响“相约徽州、乐享山水”主题形象，打好“红色岩寺、</w:t>
      </w:r>
      <w:r>
        <w:rPr>
          <w:rFonts w:hint="eastAsia" w:ascii="Times New Roman" w:hAnsi="Times New Roman" w:eastAsia="仿宋_GB2312"/>
          <w:sz w:val="32"/>
          <w:szCs w:val="32"/>
        </w:rPr>
        <w:t>创意</w:t>
      </w:r>
      <w:r>
        <w:rPr>
          <w:rFonts w:ascii="Times New Roman" w:hAnsi="Times New Roman" w:eastAsia="仿宋_GB2312"/>
          <w:sz w:val="32"/>
          <w:szCs w:val="32"/>
        </w:rPr>
        <w:t>西溪南、养生潜口、研学呈坎、青绿洽舍、多彩富溪、幸福杨村”乡镇“IP”形象。</w:t>
      </w:r>
    </w:p>
    <w:p>
      <w:pPr>
        <w:pStyle w:val="3"/>
        <w:jc w:val="center"/>
        <w:rPr>
          <w:rFonts w:ascii="Times New Roman" w:hAnsi="Times New Roman" w:eastAsia="楷体_GB2312"/>
          <w:sz w:val="36"/>
          <w:szCs w:val="36"/>
        </w:rPr>
      </w:pPr>
      <w:bookmarkStart w:id="24" w:name="_Toc918"/>
      <w:r>
        <w:rPr>
          <w:rFonts w:ascii="Times New Roman" w:hAnsi="Times New Roman" w:eastAsia="楷体_GB2312"/>
          <w:sz w:val="36"/>
          <w:szCs w:val="36"/>
        </w:rPr>
        <w:t>第二节  做强做大全域旅游产业</w:t>
      </w:r>
      <w:bookmarkEnd w:id="24"/>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充分利用在长三角地区乃至全国的文旅品牌资源，推进重点景区提档升级，加快徽州民宿提质增量，加速全域旅游整体创建，推动文旅农体资源优势转化为发展优势，推进旅游产业复合型转变、多元化发展，实现过夜游客和旅游人均消费大幅提升，进一步做强做大全域旅游产业。</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全域景区</w:t>
      </w:r>
      <w:r>
        <w:rPr>
          <w:rFonts w:ascii="Times New Roman" w:hAnsi="Times New Roman" w:eastAsia="仿宋_GB2312"/>
          <w:sz w:val="32"/>
          <w:szCs w:val="32"/>
        </w:rPr>
        <w:t>。以深化皖南国际文化旅游示范区建设为抓手，支持唐模、呈坎、潜口等景区提档升级、拓展业态，推进产品差异化、服务标准化、营销整体化，面向长三角布局全国，着力打造成古徽州文化旅游区的重要节点</w:t>
      </w:r>
      <w:r>
        <w:rPr>
          <w:rFonts w:hint="eastAsia" w:ascii="Times New Roman" w:hAnsi="Times New Roman" w:eastAsia="仿宋_GB2312"/>
          <w:sz w:val="32"/>
          <w:szCs w:val="32"/>
        </w:rPr>
        <w:t>。</w:t>
      </w:r>
      <w:r>
        <w:rPr>
          <w:rFonts w:ascii="Times New Roman" w:hAnsi="Times New Roman" w:eastAsia="仿宋_GB2312"/>
          <w:sz w:val="32"/>
          <w:szCs w:val="32"/>
        </w:rPr>
        <w:t>巩固美丽乡村建设成果，大力发展美丽经济，深化“微旅游”、拓展“微空间”，推进乡村微景区建设，打造一批人气网红打卡地</w:t>
      </w:r>
      <w:r>
        <w:rPr>
          <w:rFonts w:hint="eastAsia" w:ascii="Times New Roman" w:hAnsi="Times New Roman" w:eastAsia="仿宋_GB2312"/>
          <w:sz w:val="32"/>
          <w:szCs w:val="32"/>
        </w:rPr>
        <w:t>。</w:t>
      </w:r>
      <w:r>
        <w:rPr>
          <w:rFonts w:ascii="Times New Roman" w:hAnsi="Times New Roman" w:eastAsia="仿宋_GB2312"/>
          <w:sz w:val="32"/>
          <w:szCs w:val="32"/>
        </w:rPr>
        <w:t>培育壮大工业旅游，加强政策支撑、推动试点示范，积极引导制造企业创新模式业态，争创省级示范基地，营造工业旅游发展氛围，构建多点支撑的全域旅游发展格局。</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徽州民宿。</w:t>
      </w:r>
      <w:r>
        <w:rPr>
          <w:rFonts w:ascii="Times New Roman" w:hAnsi="Times New Roman" w:eastAsia="仿宋_GB2312"/>
          <w:sz w:val="32"/>
          <w:szCs w:val="32"/>
        </w:rPr>
        <w:t>实施</w:t>
      </w:r>
      <w:r>
        <w:rPr>
          <w:rFonts w:hint="eastAsia" w:ascii="Times New Roman" w:hAnsi="Times New Roman" w:eastAsia="仿宋_GB2312"/>
          <w:sz w:val="32"/>
          <w:szCs w:val="32"/>
        </w:rPr>
        <w:t>“徽州民宿”“徽州艺宿”</w:t>
      </w:r>
      <w:r>
        <w:rPr>
          <w:rFonts w:ascii="Times New Roman" w:hAnsi="Times New Roman" w:eastAsia="仿宋_GB2312"/>
          <w:sz w:val="32"/>
          <w:szCs w:val="32"/>
        </w:rPr>
        <w:t>提质增量行动，着力打造西溪南、潜口、呈坎精品民宿集群，注重文化引领、注重品质、体现特色、环境保护，加强主题客房、特色餐饮、健康养老、农事体验、工艺研学、亲子课程等产品开发和创意转型，开展特色百佳、最受欢迎的精品民宿、主题客栈评选。有序盘活闲置资源，鼓励农村集体经济组织以自营、入股、联营等方式发展民宿，发挥徽州民宿协会作用，促进规范化发展、连锁化经营、备案制管理，打响“徽州民宿”特色品牌。</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特色文创。</w:t>
      </w:r>
      <w:r>
        <w:rPr>
          <w:rFonts w:ascii="Times New Roman" w:hAnsi="Times New Roman" w:eastAsia="仿宋_GB2312"/>
          <w:sz w:val="32"/>
          <w:szCs w:val="32"/>
        </w:rPr>
        <w:t>完善文创设计研发激励机制，举办徽州名优特色产品、传统工艺技艺等文创产品设计大赛，征集并推进工艺特质突出、融合徽州元素、符合市场消费文创产品转化利用，打响“把一份徽情带回家”伴手礼品牌。培育壮大限上文旅企业规模，支持浪漫红文旅集团参与景区景点开发、文创产业经营、市场特色营销，推动全区文旅产业向规模化、效益化发展。</w:t>
      </w:r>
    </w:p>
    <w:p>
      <w:pPr>
        <w:pStyle w:val="3"/>
        <w:jc w:val="center"/>
        <w:rPr>
          <w:rFonts w:ascii="Times New Roman" w:hAnsi="Times New Roman" w:eastAsia="楷体_GB2312"/>
          <w:sz w:val="36"/>
          <w:szCs w:val="36"/>
        </w:rPr>
      </w:pPr>
      <w:bookmarkStart w:id="25" w:name="_Toc27915"/>
      <w:r>
        <w:rPr>
          <w:rFonts w:ascii="Times New Roman" w:hAnsi="Times New Roman" w:eastAsia="楷体_GB2312"/>
          <w:sz w:val="36"/>
          <w:szCs w:val="36"/>
        </w:rPr>
        <w:t>第三节  完善旅游服务体系</w:t>
      </w:r>
      <w:bookmarkEnd w:id="25"/>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围绕创建国家全域旅游示范区、全省文化旅游名区，以特色化、精品化、人性化为标准，完善旅游服务功能，全面构建全域旅游服务网络和服务体系，持续提升旅游体验度和满</w:t>
      </w:r>
      <w:r>
        <w:rPr>
          <w:rFonts w:hint="eastAsia" w:ascii="Times New Roman" w:hAnsi="Times New Roman" w:eastAsia="仿宋_GB2312"/>
          <w:sz w:val="32"/>
          <w:szCs w:val="32"/>
        </w:rPr>
        <w:t>意</w:t>
      </w:r>
      <w:r>
        <w:rPr>
          <w:rFonts w:ascii="Times New Roman" w:hAnsi="Times New Roman" w:eastAsia="仿宋_GB2312"/>
          <w:sz w:val="32"/>
          <w:szCs w:val="32"/>
        </w:rPr>
        <w:t>感。</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推进快旅慢游。</w:t>
      </w:r>
      <w:r>
        <w:rPr>
          <w:rFonts w:ascii="Times New Roman" w:hAnsi="Times New Roman" w:eastAsia="仿宋_GB2312"/>
          <w:sz w:val="32"/>
          <w:szCs w:val="32"/>
        </w:rPr>
        <w:t>加强与黄山高铁北站、黄山旅游轻轨、旅游风景道的衔接，建成黄山风景区换乘中心潜口站，拓展市域重要景区旅游专线，提高</w:t>
      </w:r>
      <w:r>
        <w:rPr>
          <w:rFonts w:hint="eastAsia" w:ascii="Times New Roman" w:hAnsi="Times New Roman" w:eastAsia="仿宋_GB2312"/>
          <w:sz w:val="32"/>
          <w:szCs w:val="32"/>
        </w:rPr>
        <w:t>景区</w:t>
      </w:r>
      <w:r>
        <w:rPr>
          <w:rFonts w:ascii="Times New Roman" w:hAnsi="Times New Roman" w:eastAsia="仿宋_GB2312"/>
          <w:sz w:val="32"/>
          <w:szCs w:val="32"/>
        </w:rPr>
        <w:t>直达性和换乘便利性，把潜口打造成风景区旅游接驳换乘次中心。提升徽州绿道、徒步古道、自驾驿站和徽州文化旅游风景道、名山秀水风景道等设施，完善城乡客运一体化，深化最美公路创建，提高快旅慢游深度体验。</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完善服务功能。</w:t>
      </w:r>
      <w:r>
        <w:rPr>
          <w:rFonts w:ascii="Times New Roman" w:hAnsi="Times New Roman" w:eastAsia="仿宋_GB2312"/>
          <w:sz w:val="32"/>
          <w:szCs w:val="32"/>
        </w:rPr>
        <w:t>统一规范旅游标识、旅游集散、自驾营地等服务设施，系统完善旅游导览、智慧旅游、旅游交通、旅游安全救援等服务体系，完善“徽州微旅游”信息平台功能，建立覆盖城乡、结构合理、功能健全、实用高效的服务网络。合理规划古村落旅游交通线路、停车集散区，因地制宜发展接驳专线、电动观光车运行模式。</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提升管理水平。</w:t>
      </w:r>
      <w:r>
        <w:rPr>
          <w:rFonts w:ascii="Times New Roman" w:hAnsi="Times New Roman" w:eastAsia="仿宋_GB2312"/>
          <w:sz w:val="32"/>
          <w:szCs w:val="32"/>
        </w:rPr>
        <w:t>强化旅游市场监管和旅游安全，加强导游队伍建设，提高旅游行业服务品质和旅游从业人员服务能力，健全景区突发事件应对处置机制和旅游安全预警信息发布制度。健全常态化疫情防控条件</w:t>
      </w:r>
      <w:r>
        <w:rPr>
          <w:rFonts w:hint="eastAsia" w:ascii="Times New Roman" w:hAnsi="Times New Roman" w:eastAsia="仿宋_GB2312"/>
          <w:sz w:val="32"/>
          <w:szCs w:val="32"/>
        </w:rPr>
        <w:t>下</w:t>
      </w:r>
      <w:r>
        <w:rPr>
          <w:rFonts w:ascii="Times New Roman" w:hAnsi="Times New Roman" w:eastAsia="仿宋_GB2312"/>
          <w:sz w:val="32"/>
          <w:szCs w:val="32"/>
        </w:rPr>
        <w:t>的旅游管理服务机制，推进旅游综合执法全覆盖。</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9288" w:type="dxa"/>
          </w:tcPr>
          <w:p>
            <w:pPr>
              <w:pStyle w:val="4"/>
              <w:jc w:val="center"/>
              <w:rPr>
                <w:rFonts w:ascii="Times New Roman" w:hAnsi="Times New Roman"/>
                <w:b/>
                <w:bCs/>
                <w:color w:val="auto"/>
                <w:sz w:val="32"/>
                <w:szCs w:val="32"/>
              </w:rPr>
            </w:pPr>
            <w:bookmarkStart w:id="26" w:name="_Toc11599"/>
            <w:r>
              <w:rPr>
                <w:rFonts w:ascii="Times New Roman" w:hAnsi="Times New Roman"/>
                <w:b/>
                <w:bCs/>
                <w:color w:val="auto"/>
                <w:sz w:val="32"/>
                <w:szCs w:val="32"/>
              </w:rPr>
              <w:t>专栏8  特色旅游品牌“IP”赛事打造工程</w:t>
            </w:r>
            <w:bookmarkEnd w:id="26"/>
          </w:p>
          <w:p>
            <w:pPr>
              <w:snapToGrid w:val="0"/>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红色岩寺</w:t>
            </w:r>
            <w:r>
              <w:rPr>
                <w:rFonts w:ascii="Times New Roman" w:hAnsi="Times New Roman" w:eastAsia="仿宋_GB2312"/>
                <w:sz w:val="28"/>
                <w:szCs w:val="28"/>
              </w:rPr>
              <w:t>。以“红色教育+乡村旅游”为引领，提升红色旅游品牌价值，以洪坑、虹光等历史文化底蕴深厚的村落为载体，整合推进乡村旅游微空间建设，办好新年登高健身大会（黄罗尖登高节）、岩寺上九庙会等活动。</w:t>
            </w:r>
          </w:p>
          <w:p>
            <w:pPr>
              <w:snapToGrid w:val="0"/>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创意西溪南</w:t>
            </w:r>
            <w:r>
              <w:rPr>
                <w:rFonts w:ascii="Times New Roman" w:hAnsi="Times New Roman" w:eastAsia="仿宋_GB2312"/>
                <w:sz w:val="28"/>
                <w:szCs w:val="28"/>
              </w:rPr>
              <w:t>。以“乡村旅游+文化创意”为引领，发挥乡村民宿集群和文化创意优势，提升文化创意产业和民宿经济。办好定向骑行赛、枫杨市集、音乐节等系列活动。</w:t>
            </w:r>
          </w:p>
          <w:p>
            <w:pPr>
              <w:snapToGrid w:val="0"/>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养生潜口。</w:t>
            </w:r>
            <w:r>
              <w:rPr>
                <w:rFonts w:ascii="Times New Roman" w:hAnsi="Times New Roman" w:eastAsia="仿宋_GB2312"/>
                <w:sz w:val="28"/>
                <w:szCs w:val="28"/>
              </w:rPr>
              <w:t>以“乡村旅游+康体养生”为引领，做好“名医、名品、名人、名吃”文章，打造徽文化高端养生度假旅游目的地，建成省级文化旅游度假区，大力培育景区研学旅行产品。办好“黄山论健”康养大会、蜀源向日</w:t>
            </w:r>
            <w:r>
              <w:rPr>
                <w:rFonts w:hint="eastAsia" w:ascii="Times New Roman" w:hAnsi="Times New Roman" w:eastAsia="仿宋_GB2312"/>
                <w:sz w:val="28"/>
                <w:szCs w:val="28"/>
              </w:rPr>
              <w:t>葵</w:t>
            </w:r>
            <w:r>
              <w:rPr>
                <w:rFonts w:ascii="Times New Roman" w:hAnsi="Times New Roman" w:eastAsia="仿宋_GB2312"/>
                <w:sz w:val="28"/>
                <w:szCs w:val="28"/>
              </w:rPr>
              <w:t>节、潜口腊八节等活动。</w:t>
            </w:r>
          </w:p>
          <w:p>
            <w:pPr>
              <w:snapToGrid w:val="0"/>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研学呈坎。</w:t>
            </w:r>
            <w:r>
              <w:rPr>
                <w:rFonts w:ascii="Times New Roman" w:hAnsi="Times New Roman" w:eastAsia="仿宋_GB2312"/>
                <w:sz w:val="28"/>
                <w:szCs w:val="28"/>
              </w:rPr>
              <w:t>以“乡村旅游+文化研学”为引领，打造呈灵潜特色旅游线路，提升民宿品牌影响力，打响全国中小学生研学实践教育基地品牌，丰富研学小镇业态，引</w:t>
            </w:r>
            <w:r>
              <w:rPr>
                <w:rFonts w:hint="eastAsia" w:ascii="Times New Roman" w:hAnsi="Times New Roman" w:eastAsia="仿宋_GB2312"/>
                <w:sz w:val="28"/>
                <w:szCs w:val="28"/>
              </w:rPr>
              <w:t>进</w:t>
            </w:r>
            <w:r>
              <w:rPr>
                <w:rFonts w:ascii="Times New Roman" w:hAnsi="Times New Roman" w:eastAsia="仿宋_GB2312"/>
                <w:sz w:val="28"/>
                <w:szCs w:val="28"/>
              </w:rPr>
              <w:t>优质研学团队，打造研学密集体验区、研学交流区。依托特色农产品办好汪村红色定向赛、汪村葡萄采摘节、灵山油菜花节（趣味花田跑）、灵山西瓜节等系列活动。</w:t>
            </w:r>
          </w:p>
          <w:p>
            <w:pPr>
              <w:snapToGrid w:val="0"/>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青绿洽舍。</w:t>
            </w:r>
            <w:r>
              <w:rPr>
                <w:rFonts w:ascii="Times New Roman" w:hAnsi="Times New Roman" w:eastAsia="仿宋_GB2312"/>
                <w:sz w:val="28"/>
                <w:szCs w:val="28"/>
              </w:rPr>
              <w:t>以“乡村旅游+山水度假”借助徽州古道带动旅游多元化开发，提升“安徽省森林旅游人家”、徽州农舍长潭驿站等品牌，持续办好洽舍冬欢节、“张金古道”跑山赛等系列活动。</w:t>
            </w:r>
          </w:p>
          <w:p>
            <w:pPr>
              <w:snapToGrid w:val="0"/>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幸福杨村</w:t>
            </w:r>
            <w:r>
              <w:rPr>
                <w:rFonts w:ascii="Times New Roman" w:hAnsi="Times New Roman" w:eastAsia="仿宋_GB2312"/>
                <w:sz w:val="28"/>
                <w:szCs w:val="28"/>
              </w:rPr>
              <w:t>。以“乡村旅游+香榧文化”为引领，打造“故事篁村”微景区，建设梅川养生休闲地，推进茶旅融合体验，深化杨村香榧节文化内涵。</w:t>
            </w:r>
          </w:p>
          <w:p>
            <w:pPr>
              <w:snapToGrid w:val="0"/>
              <w:spacing w:line="520" w:lineRule="exact"/>
              <w:ind w:firstLine="562" w:firstLineChars="200"/>
              <w:rPr>
                <w:rFonts w:ascii="Times New Roman" w:hAnsi="Times New Roman"/>
                <w:sz w:val="30"/>
                <w:szCs w:val="30"/>
              </w:rPr>
            </w:pPr>
            <w:r>
              <w:rPr>
                <w:rFonts w:ascii="Times New Roman" w:hAnsi="Times New Roman" w:eastAsia="仿宋_GB2312"/>
                <w:b/>
                <w:bCs/>
                <w:sz w:val="28"/>
                <w:szCs w:val="28"/>
              </w:rPr>
              <w:t>多彩富溪。</w:t>
            </w:r>
            <w:r>
              <w:rPr>
                <w:rFonts w:ascii="Times New Roman" w:hAnsi="Times New Roman" w:eastAsia="仿宋_GB2312"/>
                <w:sz w:val="28"/>
                <w:szCs w:val="28"/>
              </w:rPr>
              <w:t>以“乡村旅游+茶事体验”为引领，建成云上茶乡特色小镇，利用茶体验研学基地、村史馆，提升富溪茶研旅游品质。持续办好黄山毛峰茶文化节、重走红军路等系列活动。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9288" w:type="dxa"/>
          </w:tcPr>
          <w:p>
            <w:pPr>
              <w:pStyle w:val="4"/>
              <w:jc w:val="center"/>
              <w:rPr>
                <w:rFonts w:ascii="Times New Roman" w:hAnsi="Times New Roman"/>
                <w:b/>
                <w:bCs/>
                <w:color w:val="auto"/>
                <w:sz w:val="32"/>
                <w:szCs w:val="32"/>
              </w:rPr>
            </w:pPr>
            <w:bookmarkStart w:id="27" w:name="_Toc11664"/>
            <w:r>
              <w:rPr>
                <w:rFonts w:ascii="Times New Roman" w:hAnsi="Times New Roman"/>
                <w:b/>
                <w:bCs/>
                <w:color w:val="auto"/>
                <w:sz w:val="32"/>
                <w:szCs w:val="32"/>
              </w:rPr>
              <w:t>专栏9  全域旅游“六个一批”精品工程</w:t>
            </w:r>
            <w:bookmarkEnd w:id="27"/>
          </w:p>
          <w:p>
            <w:pPr>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谋划一批重点项目建设。</w:t>
            </w:r>
            <w:r>
              <w:rPr>
                <w:rFonts w:ascii="Times New Roman" w:hAnsi="Times New Roman" w:eastAsia="仿宋_GB2312"/>
                <w:sz w:val="28"/>
                <w:szCs w:val="28"/>
              </w:rPr>
              <w:t>完成文旅“十四五”规划编制，主动承接长三角文旅一体化中的杭黄世界级自然生态和文化旅游廊道建设，围绕农文旅融合、徽文化传承、健康养生、红色旅游、古村落开发等重点版块加大项目谋划，实施4A、5A景区提质提升。重点实施潜口民宅、呈坎古村落、西溪南古村落、唐模古村落、灵山、谢裕大茶博园二期、岩寺新四军军部旧址提升和乡村红色旅游景区创建等重点综合开发项目，推进全域旅游示范区创建。</w:t>
            </w:r>
          </w:p>
          <w:p>
            <w:pPr>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培育一批限上文旅企业。</w:t>
            </w:r>
            <w:r>
              <w:rPr>
                <w:rFonts w:ascii="Times New Roman" w:hAnsi="Times New Roman" w:eastAsia="仿宋_GB2312"/>
                <w:sz w:val="28"/>
                <w:szCs w:val="28"/>
              </w:rPr>
              <w:t>支持文旅企业加快转型发展，壮大</w:t>
            </w:r>
            <w:r>
              <w:rPr>
                <w:rFonts w:hint="eastAsia" w:ascii="Times New Roman" w:hAnsi="Times New Roman" w:eastAsia="仿宋_GB2312"/>
                <w:sz w:val="28"/>
                <w:szCs w:val="28"/>
              </w:rPr>
              <w:t>限</w:t>
            </w:r>
            <w:r>
              <w:rPr>
                <w:rFonts w:ascii="Times New Roman" w:hAnsi="Times New Roman" w:eastAsia="仿宋_GB2312"/>
                <w:sz w:val="28"/>
                <w:szCs w:val="28"/>
              </w:rPr>
              <w:t>上文旅企业规模，“十四五”期间，新增限上文旅企业8家以上，营业收入超亿元文旅企业1家。</w:t>
            </w:r>
          </w:p>
          <w:p>
            <w:pPr>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打造一批网红打卡地。</w:t>
            </w:r>
            <w:r>
              <w:rPr>
                <w:rFonts w:ascii="Times New Roman" w:hAnsi="Times New Roman" w:eastAsia="仿宋_GB2312"/>
                <w:sz w:val="28"/>
                <w:szCs w:val="28"/>
              </w:rPr>
              <w:t>实施徽州区网红打卡点三年建设计划（2020-2022年），每年形成3-4个网红打卡地。</w:t>
            </w:r>
          </w:p>
          <w:p>
            <w:pPr>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建设一批特色亮点品牌。</w:t>
            </w:r>
            <w:r>
              <w:rPr>
                <w:rFonts w:ascii="Times New Roman" w:hAnsi="Times New Roman" w:eastAsia="仿宋_GB2312"/>
                <w:sz w:val="28"/>
                <w:szCs w:val="28"/>
              </w:rPr>
              <w:t>培育休闲医美康养、文化研学、农事体验、红色基因传承、乡村户外徒步等旅游新业态，依托谢裕大、竹艺轩、无极雪等重点企业，推进工业旅游特色化发展。加快实现观光游向“旅游+”融合发展的转变，争创国家全域旅游示范区。</w:t>
            </w:r>
          </w:p>
          <w:p>
            <w:pPr>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推出一批特色旅游线路</w:t>
            </w:r>
            <w:r>
              <w:rPr>
                <w:rFonts w:ascii="Times New Roman" w:hAnsi="Times New Roman" w:eastAsia="仿宋_GB2312"/>
                <w:sz w:val="28"/>
                <w:szCs w:val="28"/>
              </w:rPr>
              <w:t>。推进名山秀水旅游风景道、徽州文化旅游风景道</w:t>
            </w:r>
            <w:r>
              <w:rPr>
                <w:rFonts w:hint="eastAsia" w:ascii="Times New Roman" w:hAnsi="Times New Roman" w:eastAsia="仿宋_GB2312"/>
                <w:sz w:val="28"/>
                <w:szCs w:val="28"/>
              </w:rPr>
              <w:t>等</w:t>
            </w:r>
            <w:r>
              <w:rPr>
                <w:rFonts w:ascii="Times New Roman" w:hAnsi="Times New Roman" w:eastAsia="仿宋_GB2312"/>
                <w:sz w:val="28"/>
                <w:szCs w:val="28"/>
              </w:rPr>
              <w:t>建设，推出徽州区最美自驾车线路，串联呈坎、潜口、唐模、新四军军部等重点景区景点和乡村旅游“微空间”</w:t>
            </w:r>
            <w:r>
              <w:rPr>
                <w:rFonts w:hint="eastAsia" w:ascii="Times New Roman" w:hAnsi="Times New Roman" w:eastAsia="仿宋_GB2312"/>
                <w:sz w:val="28"/>
                <w:szCs w:val="28"/>
              </w:rPr>
              <w:t>，</w:t>
            </w:r>
            <w:r>
              <w:rPr>
                <w:rFonts w:ascii="Times New Roman" w:hAnsi="Times New Roman" w:eastAsia="仿宋_GB2312"/>
                <w:sz w:val="28"/>
                <w:szCs w:val="28"/>
              </w:rPr>
              <w:t>建设一批文旅农体、团建、乐享山水、红色教育等旅游精品线路。</w:t>
            </w:r>
          </w:p>
          <w:p>
            <w:pPr>
              <w:spacing w:line="520" w:lineRule="exact"/>
              <w:ind w:firstLine="562" w:firstLineChars="200"/>
              <w:rPr>
                <w:rFonts w:ascii="Times New Roman" w:hAnsi="Times New Roman"/>
                <w:sz w:val="32"/>
                <w:szCs w:val="32"/>
              </w:rPr>
            </w:pPr>
            <w:r>
              <w:rPr>
                <w:rFonts w:ascii="Times New Roman" w:hAnsi="Times New Roman" w:eastAsia="仿宋_GB2312"/>
                <w:b/>
                <w:bCs/>
                <w:sz w:val="28"/>
                <w:szCs w:val="28"/>
              </w:rPr>
              <w:t>创新一批有效宣传方式。</w:t>
            </w:r>
            <w:r>
              <w:rPr>
                <w:rFonts w:ascii="Times New Roman" w:hAnsi="Times New Roman" w:eastAsia="仿宋_GB2312"/>
                <w:sz w:val="28"/>
                <w:szCs w:val="28"/>
              </w:rPr>
              <w:t>利用中青报、黄山交广、徽州大论坛、微旅游等媒体合作，有效调动市场主体、网红达人等推</w:t>
            </w:r>
            <w:r>
              <w:rPr>
                <w:rFonts w:hint="eastAsia" w:ascii="Times New Roman" w:hAnsi="Times New Roman" w:eastAsia="仿宋_GB2312"/>
                <w:sz w:val="28"/>
                <w:szCs w:val="28"/>
              </w:rPr>
              <w:t>出</w:t>
            </w:r>
            <w:r>
              <w:rPr>
                <w:rFonts w:ascii="Times New Roman" w:hAnsi="Times New Roman" w:eastAsia="仿宋_GB2312"/>
                <w:sz w:val="28"/>
                <w:szCs w:val="28"/>
              </w:rPr>
              <w:t>一批短视频、网络直播，刺激线上新媒体营销宣传和线下推</w:t>
            </w:r>
            <w:r>
              <w:rPr>
                <w:rFonts w:hint="eastAsia" w:ascii="Times New Roman" w:hAnsi="Times New Roman" w:eastAsia="仿宋_GB2312"/>
                <w:sz w:val="28"/>
                <w:szCs w:val="28"/>
              </w:rPr>
              <w:t>介</w:t>
            </w:r>
            <w:r>
              <w:rPr>
                <w:rFonts w:ascii="Times New Roman" w:hAnsi="Times New Roman" w:eastAsia="仿宋_GB2312"/>
                <w:sz w:val="28"/>
                <w:szCs w:val="28"/>
              </w:rPr>
              <w:t>力度和广度。</w:t>
            </w:r>
          </w:p>
        </w:tc>
      </w:tr>
    </w:tbl>
    <w:p>
      <w:pPr>
        <w:pStyle w:val="2"/>
        <w:jc w:val="center"/>
        <w:rPr>
          <w:rFonts w:ascii="Times New Roman" w:hAnsi="Times New Roman" w:eastAsia="黑体"/>
          <w:b w:val="0"/>
          <w:bCs/>
          <w:sz w:val="36"/>
          <w:szCs w:val="36"/>
        </w:rPr>
      </w:pPr>
      <w:bookmarkStart w:id="28" w:name="_Toc1237"/>
      <w:r>
        <w:rPr>
          <w:rFonts w:ascii="Times New Roman" w:hAnsi="Times New Roman" w:eastAsia="黑体"/>
          <w:b w:val="0"/>
          <w:bCs/>
          <w:sz w:val="36"/>
          <w:szCs w:val="36"/>
        </w:rPr>
        <w:t>第五章  坚持扩大内需战略  主动融入和服务构建新发展格局</w:t>
      </w:r>
      <w:bookmarkEnd w:id="28"/>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扩大内需这个战略基点，扭住供给侧结构性改革，同时注重需求侧改革，结合实际落实好扩大内需和开放发展，积极融入国内大循环国内国际双循环，以创新驱动、高质量供给引领和创新需求，努力在服务和融入新发展格局中实现更大作为。</w:t>
      </w:r>
    </w:p>
    <w:p>
      <w:pPr>
        <w:pStyle w:val="3"/>
        <w:jc w:val="center"/>
        <w:rPr>
          <w:rFonts w:ascii="Times New Roman" w:hAnsi="Times New Roman" w:eastAsia="楷体_GB2312"/>
          <w:sz w:val="36"/>
          <w:szCs w:val="36"/>
        </w:rPr>
      </w:pPr>
      <w:bookmarkStart w:id="29" w:name="_Toc25948"/>
      <w:r>
        <w:rPr>
          <w:rFonts w:ascii="Times New Roman" w:hAnsi="Times New Roman" w:eastAsia="楷体_GB2312"/>
          <w:sz w:val="36"/>
          <w:szCs w:val="36"/>
        </w:rPr>
        <w:t>第一节  优化完善产业循环体系</w:t>
      </w:r>
      <w:bookmarkEnd w:id="29"/>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充分发挥特色产业比较优势，完善生产、流通、消费各个环</w:t>
      </w:r>
      <w:r>
        <w:rPr>
          <w:rFonts w:hint="eastAsia" w:ascii="Times New Roman" w:hAnsi="Times New Roman" w:eastAsia="仿宋_GB2312"/>
          <w:sz w:val="32"/>
          <w:szCs w:val="32"/>
        </w:rPr>
        <w:t>节</w:t>
      </w:r>
      <w:r>
        <w:rPr>
          <w:rFonts w:ascii="Times New Roman" w:hAnsi="Times New Roman" w:eastAsia="仿宋_GB2312"/>
          <w:sz w:val="32"/>
          <w:szCs w:val="32"/>
        </w:rPr>
        <w:t>，统筹利用国内国际两个市场两种资源，积极推进内需和外需、进口和出口、引进外资和对外投资协调发展，积极服务国内国际双循环。</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积极融入国内大循环。</w:t>
      </w:r>
      <w:r>
        <w:rPr>
          <w:rFonts w:ascii="Times New Roman" w:hAnsi="Times New Roman" w:eastAsia="仿宋_GB2312"/>
          <w:sz w:val="32"/>
          <w:szCs w:val="32"/>
        </w:rPr>
        <w:t>坚持优化供给结构，改善供给质量，推动我区主导产业、优势产业、特色产业更好地融入国内产业循环，推动金融、房地产同实体经济均衡发展，加快实现上下游、产供销有效衔接，提升产业链、供应链的完整性。积极鼓励本地优势企业作为总部向外投资扩张，实现经济总量扩大。落实扩大内需各项政策，破除妨碍生产要素市场化配置和商品服务流通的瓶颈制约，降低各领域各环节交易成本，促进形成更高水平的供需动态平衡。</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紧密对接国内国际双循环。</w:t>
      </w:r>
      <w:r>
        <w:rPr>
          <w:rFonts w:ascii="Times New Roman" w:hAnsi="Times New Roman" w:eastAsia="仿宋_GB2312"/>
          <w:sz w:val="32"/>
          <w:szCs w:val="32"/>
        </w:rPr>
        <w:t>注重同线同标同质，推进内贸外贸一体发展</w:t>
      </w:r>
      <w:r>
        <w:rPr>
          <w:rFonts w:hint="eastAsia" w:ascii="Times New Roman" w:hAnsi="Times New Roman" w:eastAsia="仿宋_GB2312"/>
          <w:sz w:val="32"/>
          <w:szCs w:val="32"/>
        </w:rPr>
        <w:t>、</w:t>
      </w:r>
      <w:r>
        <w:rPr>
          <w:rFonts w:ascii="Times New Roman" w:hAnsi="Times New Roman" w:eastAsia="仿宋_GB2312"/>
          <w:sz w:val="32"/>
          <w:szCs w:val="32"/>
        </w:rPr>
        <w:t>外贸市场多元化发展，鼓励企业开展自营进出口业务，做强一般贸易，</w:t>
      </w:r>
      <w:r>
        <w:rPr>
          <w:rFonts w:hint="eastAsia" w:ascii="Times New Roman" w:hAnsi="Times New Roman" w:eastAsia="仿宋_GB2312"/>
          <w:sz w:val="32"/>
          <w:szCs w:val="32"/>
        </w:rPr>
        <w:t>扩大</w:t>
      </w:r>
      <w:r>
        <w:rPr>
          <w:rFonts w:ascii="Times New Roman" w:hAnsi="Times New Roman" w:eastAsia="仿宋_GB2312"/>
          <w:sz w:val="32"/>
          <w:szCs w:val="32"/>
        </w:rPr>
        <w:t>加工贸易，</w:t>
      </w:r>
      <w:r>
        <w:rPr>
          <w:rFonts w:ascii="Times New Roman" w:hAnsi="Times New Roman" w:eastAsia="仿宋_GB2312"/>
          <w:color w:val="000000"/>
          <w:sz w:val="32"/>
          <w:szCs w:val="32"/>
        </w:rPr>
        <w:t>促</w:t>
      </w:r>
      <w:r>
        <w:rPr>
          <w:rFonts w:hint="eastAsia" w:ascii="Times New Roman" w:hAnsi="Times New Roman" w:eastAsia="仿宋_GB2312"/>
          <w:color w:val="000000"/>
          <w:sz w:val="32"/>
          <w:szCs w:val="32"/>
        </w:rPr>
        <w:t>进</w:t>
      </w:r>
      <w:r>
        <w:rPr>
          <w:rFonts w:ascii="Times New Roman" w:hAnsi="Times New Roman" w:eastAsia="仿宋_GB2312"/>
          <w:color w:val="000000"/>
          <w:sz w:val="32"/>
          <w:szCs w:val="32"/>
        </w:rPr>
        <w:t>外贸新业态</w:t>
      </w:r>
      <w:r>
        <w:rPr>
          <w:rFonts w:hint="eastAsia" w:ascii="Times New Roman" w:hAnsi="Times New Roman" w:eastAsia="仿宋_GB2312"/>
          <w:color w:val="000000"/>
          <w:sz w:val="32"/>
          <w:szCs w:val="32"/>
        </w:rPr>
        <w:t>发展</w:t>
      </w:r>
      <w:r>
        <w:rPr>
          <w:rFonts w:ascii="Times New Roman" w:hAnsi="Times New Roman" w:eastAsia="仿宋_GB2312"/>
          <w:color w:val="000000"/>
          <w:sz w:val="32"/>
          <w:szCs w:val="32"/>
        </w:rPr>
        <w:t>，</w:t>
      </w:r>
      <w:r>
        <w:rPr>
          <w:rFonts w:ascii="Times New Roman" w:hAnsi="Times New Roman" w:eastAsia="仿宋_GB2312"/>
          <w:sz w:val="32"/>
          <w:szCs w:val="32"/>
        </w:rPr>
        <w:t>持续</w:t>
      </w:r>
      <w:r>
        <w:rPr>
          <w:rFonts w:hint="eastAsia" w:ascii="Times New Roman" w:hAnsi="Times New Roman" w:eastAsia="仿宋_GB2312"/>
          <w:sz w:val="32"/>
          <w:szCs w:val="32"/>
        </w:rPr>
        <w:t>优化</w:t>
      </w:r>
      <w:r>
        <w:rPr>
          <w:rFonts w:ascii="Times New Roman" w:hAnsi="Times New Roman" w:eastAsia="仿宋_GB2312"/>
          <w:sz w:val="32"/>
          <w:szCs w:val="32"/>
        </w:rPr>
        <w:t>出口</w:t>
      </w:r>
      <w:r>
        <w:rPr>
          <w:rFonts w:hint="eastAsia" w:ascii="Times New Roman" w:hAnsi="Times New Roman" w:eastAsia="仿宋_GB2312"/>
          <w:sz w:val="32"/>
          <w:szCs w:val="32"/>
        </w:rPr>
        <w:t>结构</w:t>
      </w:r>
      <w:r>
        <w:rPr>
          <w:rFonts w:ascii="Times New Roman" w:hAnsi="Times New Roman" w:eastAsia="仿宋_GB2312"/>
          <w:sz w:val="32"/>
          <w:szCs w:val="32"/>
        </w:rPr>
        <w:t>，增加优质产品进口</w:t>
      </w:r>
      <w:r>
        <w:rPr>
          <w:rFonts w:hint="eastAsia" w:ascii="Times New Roman" w:hAnsi="Times New Roman" w:eastAsia="仿宋_GB2312"/>
          <w:sz w:val="32"/>
          <w:szCs w:val="32"/>
        </w:rPr>
        <w:t>，加大外商直接投资项目引进力度，促进引进来和“走出去”</w:t>
      </w:r>
      <w:r>
        <w:rPr>
          <w:rFonts w:ascii="Times New Roman" w:hAnsi="Times New Roman" w:eastAsia="仿宋_GB2312"/>
          <w:sz w:val="32"/>
          <w:szCs w:val="32"/>
        </w:rPr>
        <w:t>。优化利用外资结构，密切关注外贸经营风险，支持企业保市场、保份额、保订单，提高外贸企业综合竞争力。</w:t>
      </w:r>
    </w:p>
    <w:p>
      <w:pPr>
        <w:pStyle w:val="3"/>
        <w:jc w:val="center"/>
        <w:rPr>
          <w:rFonts w:ascii="Times New Roman" w:hAnsi="Times New Roman" w:eastAsia="楷体_GB2312"/>
          <w:sz w:val="36"/>
          <w:szCs w:val="36"/>
        </w:rPr>
      </w:pPr>
      <w:bookmarkStart w:id="30" w:name="_Toc1399"/>
      <w:r>
        <w:rPr>
          <w:rFonts w:ascii="Times New Roman" w:hAnsi="Times New Roman" w:eastAsia="楷体_GB2312"/>
          <w:sz w:val="36"/>
          <w:szCs w:val="36"/>
        </w:rPr>
        <w:t>第二节  全面促进消费</w:t>
      </w:r>
      <w:bookmarkEnd w:id="30"/>
    </w:p>
    <w:p>
      <w:pPr>
        <w:ind w:firstLine="640" w:firstLineChars="200"/>
        <w:rPr>
          <w:rFonts w:ascii="Times New Roman" w:hAnsi="Times New Roman" w:eastAsia="仿宋_GB2312"/>
          <w:sz w:val="32"/>
          <w:szCs w:val="32"/>
        </w:rPr>
      </w:pPr>
      <w:r>
        <w:rPr>
          <w:rFonts w:ascii="Times New Roman" w:hAnsi="Times New Roman" w:eastAsia="仿宋_GB2312"/>
          <w:sz w:val="32"/>
          <w:szCs w:val="32"/>
        </w:rPr>
        <w:t>顺应消费升级趋势，提升传统消费、培育新型消费，充分挖掘城乡消费潜力，以质量品牌为重点，促进消费向绿色、健康、安全发展。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推动传统商贸转型发展。</w:t>
      </w:r>
      <w:r>
        <w:rPr>
          <w:rFonts w:ascii="Times New Roman" w:hAnsi="Times New Roman" w:eastAsia="仿宋_GB2312"/>
          <w:sz w:val="32"/>
          <w:szCs w:val="32"/>
        </w:rPr>
        <w:t>完善城乡商业网点布局，优化社区便民服务设施，大力发展便利店、社区生鲜菜店、品牌连锁等社区商业，合理规划农贸市场、商场</w:t>
      </w:r>
      <w:r>
        <w:rPr>
          <w:rFonts w:hint="eastAsia" w:ascii="Times New Roman" w:hAnsi="Times New Roman" w:eastAsia="仿宋_GB2312"/>
          <w:sz w:val="32"/>
          <w:szCs w:val="32"/>
        </w:rPr>
        <w:t>超市</w:t>
      </w:r>
      <w:r>
        <w:rPr>
          <w:rFonts w:ascii="Times New Roman" w:hAnsi="Times New Roman" w:eastAsia="仿宋_GB2312"/>
          <w:sz w:val="32"/>
          <w:szCs w:val="32"/>
        </w:rPr>
        <w:t>等专业市场，依托第三方数字化平台拓展配送领域、扩大配送范围、提速即时配送</w:t>
      </w:r>
      <w:r>
        <w:rPr>
          <w:rFonts w:hint="eastAsia" w:ascii="Times New Roman" w:hAnsi="Times New Roman" w:eastAsia="仿宋_GB2312"/>
          <w:sz w:val="32"/>
          <w:szCs w:val="32"/>
        </w:rPr>
        <w:t>，</w:t>
      </w:r>
      <w:r>
        <w:rPr>
          <w:rFonts w:ascii="Times New Roman" w:hAnsi="Times New Roman" w:eastAsia="仿宋_GB2312"/>
          <w:sz w:val="32"/>
          <w:szCs w:val="32"/>
        </w:rPr>
        <w:t>加快构建以岩寺片区商业中心为主</w:t>
      </w:r>
      <w:r>
        <w:rPr>
          <w:rFonts w:hint="eastAsia" w:ascii="Times New Roman" w:hAnsi="Times New Roman" w:eastAsia="仿宋_GB2312"/>
          <w:sz w:val="32"/>
          <w:szCs w:val="32"/>
        </w:rPr>
        <w:t>和</w:t>
      </w:r>
      <w:r>
        <w:rPr>
          <w:rFonts w:ascii="Times New Roman" w:hAnsi="Times New Roman" w:eastAsia="仿宋_GB2312"/>
          <w:sz w:val="32"/>
          <w:szCs w:val="32"/>
        </w:rPr>
        <w:t>社区生活综合服务中心、城区主干道商业街区为支撑的商业集聚发展。依托古镇老街、景区景点，提升紫霞美食街、潜口中医养疗街等，打造一批新型文旅商业消费集聚区。落实汽车等大宗耐用品消费、数字信息等新型消费、教育医疗养老等服务消费、带薪休假消费等政策，促进形成更高水平的供需动态平衡。</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加快发展夜间经济。</w:t>
      </w:r>
      <w:r>
        <w:rPr>
          <w:rFonts w:ascii="Times New Roman" w:hAnsi="Times New Roman" w:eastAsia="仿宋_GB2312"/>
          <w:sz w:val="32"/>
          <w:szCs w:val="32"/>
        </w:rPr>
        <w:t>坚持市场主导、政府引导，依托城市商圈、夜市街区、特色商业街、旅游景点，强化品牌引入和业态引导，丰富夜游、夜购、夜娱、夜演、夜宿等多元化夜间消费业态，鼓励城区主要商圈和特色商业街推广夜间延时服务，培育田园星光梦潜口、岩寺老街夜经济集聚区，探索构建“城区、街区、景区、商区”四位一体夜间经济体系。加强夜间经济重点区域街景打造、照明美化，策划以文化、旅游、购物、餐饮等为主题的夏季、周末或节日精品夜间活动，推进夜间消费线上服务</w:t>
      </w:r>
      <w:r>
        <w:rPr>
          <w:rFonts w:hint="eastAsia" w:ascii="Times New Roman" w:hAnsi="Times New Roman" w:eastAsia="仿宋_GB2312"/>
          <w:sz w:val="32"/>
          <w:szCs w:val="32"/>
        </w:rPr>
        <w:t>。</w:t>
      </w:r>
      <w:r>
        <w:rPr>
          <w:rFonts w:ascii="Times New Roman" w:hAnsi="Times New Roman" w:eastAsia="仿宋_GB2312"/>
          <w:sz w:val="32"/>
          <w:szCs w:val="32"/>
        </w:rPr>
        <w:t>完善市政公共设施，优化周边交通组织，浓厚我区夜间经济氛围，提高夜间消费便利性。</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完善现代流通体系。</w:t>
      </w:r>
      <w:r>
        <w:rPr>
          <w:rFonts w:ascii="Times New Roman" w:hAnsi="Times New Roman" w:eastAsia="仿宋_GB2312"/>
          <w:sz w:val="32"/>
          <w:szCs w:val="32"/>
        </w:rPr>
        <w:t>加密区乡</w:t>
      </w:r>
      <w:r>
        <w:rPr>
          <w:rFonts w:hint="eastAsia" w:ascii="Times New Roman" w:hAnsi="Times New Roman" w:eastAsia="仿宋_GB2312"/>
          <w:sz w:val="32"/>
          <w:szCs w:val="32"/>
        </w:rPr>
        <w:t>（</w:t>
      </w:r>
      <w:r>
        <w:rPr>
          <w:rFonts w:ascii="Times New Roman" w:hAnsi="Times New Roman" w:eastAsia="仿宋_GB2312"/>
          <w:sz w:val="32"/>
          <w:szCs w:val="32"/>
        </w:rPr>
        <w:t>镇</w:t>
      </w:r>
      <w:r>
        <w:rPr>
          <w:rFonts w:hint="eastAsia" w:ascii="Times New Roman" w:hAnsi="Times New Roman" w:eastAsia="仿宋_GB2312"/>
          <w:sz w:val="32"/>
          <w:szCs w:val="32"/>
        </w:rPr>
        <w:t>）</w:t>
      </w:r>
      <w:r>
        <w:rPr>
          <w:rFonts w:ascii="Times New Roman" w:hAnsi="Times New Roman" w:eastAsia="仿宋_GB2312"/>
          <w:sz w:val="32"/>
          <w:szCs w:val="32"/>
        </w:rPr>
        <w:t>村快速物流网络体系，整合区内各类物流资源，将徽州现代物流园建成区域性综合物流中心。促进线上线下消费融合发展，培育一批省级以上电商示范企业。持续推广“徽州优品”农产品区域公共品牌。加强消费者权益保护，完善消费市场监管机制和12315互联平台功能，打击各类假冒伪劣和虚假广告宣传，提高消费者主体意识和维权能力，大力倡导安全放心的消费环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81" w:type="dxa"/>
          </w:tcPr>
          <w:p>
            <w:pPr>
              <w:pStyle w:val="4"/>
              <w:jc w:val="center"/>
              <w:rPr>
                <w:rFonts w:ascii="Times New Roman" w:hAnsi="Times New Roman"/>
                <w:b/>
                <w:bCs/>
                <w:color w:val="auto"/>
                <w:sz w:val="32"/>
                <w:szCs w:val="32"/>
              </w:rPr>
            </w:pPr>
            <w:bookmarkStart w:id="31" w:name="_Toc16902"/>
            <w:r>
              <w:rPr>
                <w:rFonts w:ascii="Times New Roman" w:hAnsi="Times New Roman"/>
                <w:b/>
                <w:bCs/>
                <w:color w:val="auto"/>
                <w:sz w:val="32"/>
                <w:szCs w:val="32"/>
              </w:rPr>
              <w:t>专栏10  新型消费培育提升工程</w:t>
            </w:r>
            <w:bookmarkEnd w:id="31"/>
          </w:p>
          <w:p>
            <w:pPr>
              <w:spacing w:line="54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数字生活消费。</w:t>
            </w:r>
            <w:r>
              <w:rPr>
                <w:rFonts w:ascii="Times New Roman" w:hAnsi="Times New Roman" w:eastAsia="仿宋_GB2312"/>
                <w:sz w:val="28"/>
                <w:szCs w:val="28"/>
              </w:rPr>
              <w:t>加快“互联网+”消费生态体系建设，积极培育数字生活、智能配送等新业态，拓宽智能物流、智能安防、智能监测等应用领域，支持直播电商、冷链配送、互联网诊疗、智慧超市等发展。</w:t>
            </w:r>
          </w:p>
          <w:p>
            <w:pPr>
              <w:spacing w:line="54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线上线下消费融合发展。</w:t>
            </w:r>
            <w:r>
              <w:rPr>
                <w:rFonts w:ascii="Times New Roman" w:hAnsi="Times New Roman" w:eastAsia="仿宋_GB2312"/>
                <w:sz w:val="28"/>
                <w:szCs w:val="28"/>
              </w:rPr>
              <w:t>支持实体商业依托互联网平台发展线上支付业务，积极推进智慧商店、街区打造，鼓励一批重点企业发展线上线下新消费体验店体验馆。</w:t>
            </w:r>
          </w:p>
          <w:p>
            <w:pPr>
              <w:spacing w:line="540" w:lineRule="exact"/>
              <w:ind w:firstLine="562" w:firstLineChars="200"/>
              <w:rPr>
                <w:rFonts w:ascii="Times New Roman" w:hAnsi="Times New Roman"/>
                <w:sz w:val="30"/>
                <w:szCs w:val="30"/>
              </w:rPr>
            </w:pPr>
            <w:r>
              <w:rPr>
                <w:rFonts w:ascii="Times New Roman" w:hAnsi="Times New Roman" w:eastAsia="仿宋_GB2312"/>
                <w:b/>
                <w:bCs/>
                <w:sz w:val="28"/>
                <w:szCs w:val="28"/>
              </w:rPr>
              <w:t>夜间经济。</w:t>
            </w:r>
            <w:r>
              <w:rPr>
                <w:rFonts w:ascii="Times New Roman" w:hAnsi="Times New Roman" w:eastAsia="仿宋_GB2312"/>
                <w:sz w:val="28"/>
                <w:szCs w:val="28"/>
              </w:rPr>
              <w:t>以“田园诗意”为主题，打造潜口养生小镇“田园星光”品牌，加强</w:t>
            </w:r>
            <w:r>
              <w:rPr>
                <w:rFonts w:hint="eastAsia" w:ascii="Times New Roman" w:hAnsi="Times New Roman" w:eastAsia="仿宋_GB2312"/>
                <w:sz w:val="28"/>
                <w:szCs w:val="28"/>
              </w:rPr>
              <w:t>颖溪河</w:t>
            </w:r>
            <w:r>
              <w:rPr>
                <w:rFonts w:ascii="Times New Roman" w:hAnsi="Times New Roman" w:eastAsia="仿宋_GB2312"/>
                <w:sz w:val="28"/>
                <w:szCs w:val="28"/>
              </w:rPr>
              <w:t>夜市、徽州小镇商业街、岩寺老街等规范发展。</w:t>
            </w:r>
          </w:p>
        </w:tc>
      </w:tr>
    </w:tbl>
    <w:p>
      <w:pPr>
        <w:ind w:firstLine="640" w:firstLineChars="200"/>
        <w:rPr>
          <w:rFonts w:ascii="Times New Roman" w:hAnsi="Times New Roman" w:eastAsia="仿宋_GB2312"/>
          <w:sz w:val="32"/>
          <w:szCs w:val="32"/>
        </w:rPr>
      </w:pPr>
    </w:p>
    <w:p>
      <w:pPr>
        <w:pStyle w:val="3"/>
        <w:jc w:val="center"/>
        <w:rPr>
          <w:rFonts w:ascii="Times New Roman" w:hAnsi="Times New Roman" w:eastAsia="楷体_GB2312"/>
          <w:sz w:val="36"/>
          <w:szCs w:val="36"/>
        </w:rPr>
      </w:pPr>
      <w:bookmarkStart w:id="32" w:name="_Toc20455"/>
      <w:r>
        <w:rPr>
          <w:rFonts w:ascii="Times New Roman" w:hAnsi="Times New Roman" w:eastAsia="楷体_GB2312"/>
          <w:sz w:val="36"/>
          <w:szCs w:val="36"/>
        </w:rPr>
        <w:t>第三节  积极扩大有效投资</w:t>
      </w:r>
      <w:bookmarkEnd w:id="32"/>
    </w:p>
    <w:p>
      <w:pPr>
        <w:ind w:firstLine="640" w:firstLineChars="200"/>
        <w:rPr>
          <w:rFonts w:ascii="Times New Roman" w:hAnsi="Times New Roman" w:eastAsia="仿宋_GB2312"/>
          <w:sz w:val="32"/>
          <w:szCs w:val="32"/>
        </w:rPr>
      </w:pPr>
      <w:r>
        <w:rPr>
          <w:rFonts w:ascii="Times New Roman" w:hAnsi="Times New Roman" w:eastAsia="仿宋_GB2312"/>
          <w:sz w:val="32"/>
          <w:szCs w:val="32"/>
        </w:rPr>
        <w:t>发挥投资对优化供给结构的关键作用，聚焦“两新一重”、先进制造业等重点领域，保持投资合理增长，不断优化投资结构，提高投资对经济社会发展的拉动作用。</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积极扩投资补短板。</w:t>
      </w:r>
      <w:r>
        <w:rPr>
          <w:rFonts w:ascii="Times New Roman" w:hAnsi="Times New Roman" w:eastAsia="仿宋_GB2312"/>
          <w:sz w:val="32"/>
          <w:szCs w:val="32"/>
        </w:rPr>
        <w:t>围绕产业转型和薄弱环节，着力扩大工业投资和城市建设、民生短板投资，支持重点产业智能化提升和升级改造，加大引进一批牵动性强、成长性好、效益优良的工业项目，在基础设施、市政工程、农业农村、公共安全、生态环保、公共卫生、物资储备、防洪减灾、民生保障</w:t>
      </w:r>
      <w:r>
        <w:rPr>
          <w:rFonts w:hint="eastAsia" w:ascii="Times New Roman" w:hAnsi="Times New Roman" w:eastAsia="仿宋_GB2312"/>
          <w:sz w:val="32"/>
          <w:szCs w:val="32"/>
        </w:rPr>
        <w:t>等方面</w:t>
      </w:r>
      <w:r>
        <w:rPr>
          <w:rFonts w:ascii="Times New Roman" w:hAnsi="Times New Roman" w:eastAsia="仿宋_GB2312"/>
          <w:sz w:val="32"/>
          <w:szCs w:val="32"/>
        </w:rPr>
        <w:t>谋划实施一批补短板、利长远的重大项目，严格落实“四督四保”“三个走”“集中开工”“双进双产”和领导联系项目工作机制，推进新增项目不断档、有效投资再提速。“十四五”期间，每年滚动实施重点项目130个左右，其中省市级重点项目个数投资保持相对稳定。</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激发民间投资活力。</w:t>
      </w:r>
      <w:r>
        <w:rPr>
          <w:rFonts w:ascii="Times New Roman" w:hAnsi="Times New Roman" w:eastAsia="仿宋_GB2312"/>
          <w:sz w:val="32"/>
          <w:szCs w:val="32"/>
        </w:rPr>
        <w:t>全面落实市场准入负面清单，推动“非禁即入”普遍落实，开展破除各种形式的市场准入不合理限制和隐性壁垒专项治理，完善向民间资本推介项目长效机制，积极推广政府和社会资本合作（PPP）模式，严格落实减税降费政策措施，持续推进银企对接、政银担合作、融资增信、周转金、要素保障政策机制。加大民营企业上市、直接融资、再融资激励奖补力度，引导民营企业依托资本市场</w:t>
      </w:r>
      <w:r>
        <w:rPr>
          <w:rFonts w:hint="eastAsia" w:ascii="Times New Roman" w:hAnsi="Times New Roman" w:eastAsia="仿宋_GB2312"/>
          <w:sz w:val="32"/>
          <w:szCs w:val="32"/>
        </w:rPr>
        <w:t>，</w:t>
      </w:r>
      <w:r>
        <w:rPr>
          <w:rFonts w:ascii="Times New Roman" w:hAnsi="Times New Roman" w:eastAsia="仿宋_GB2312"/>
          <w:sz w:val="32"/>
          <w:szCs w:val="32"/>
        </w:rPr>
        <w:t>通过并购重组、增资扩股、债券发行、产业合作等方式扩大融资规模，探索建立产业投资基金，引导各类金融机构、社会资本加大对民间投资的支持力度。</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深化投融资体制改革。</w:t>
      </w:r>
      <w:r>
        <w:rPr>
          <w:rFonts w:ascii="Times New Roman" w:hAnsi="Times New Roman" w:eastAsia="仿宋_GB2312"/>
          <w:sz w:val="32"/>
          <w:szCs w:val="32"/>
        </w:rPr>
        <w:t>持续深化工程建设项目审批制度改革，简化、规范、优化行政审批流程，推进项目集中会商、多评合一、并联审批、容缺承诺办理、联合验收和重大项目要素“周转池”等制度，大力推广“不见面”和预约审批，规范全程咨询服务和代建制，完善政府投资项目管理和全过程造价管理，加快实现投资管理“一网通办”，坚持核准范围最小化，落实告知性备案制度，依法依规强化投资项目管理过程服务和事中事后监管。</w:t>
      </w: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2"/>
        <w:jc w:val="center"/>
        <w:rPr>
          <w:rFonts w:ascii="Times New Roman" w:hAnsi="Times New Roman" w:eastAsia="黑体"/>
          <w:b w:val="0"/>
          <w:bCs/>
          <w:sz w:val="36"/>
          <w:szCs w:val="36"/>
        </w:rPr>
      </w:pPr>
      <w:bookmarkStart w:id="33" w:name="_Toc19723"/>
      <w:r>
        <w:rPr>
          <w:rFonts w:ascii="Times New Roman" w:hAnsi="Times New Roman" w:eastAsia="黑体"/>
          <w:b w:val="0"/>
          <w:bCs/>
          <w:sz w:val="36"/>
          <w:szCs w:val="36"/>
        </w:rPr>
        <w:t>第六章  坚持优先发展农业农村  打造乡村振兴先行示范区</w:t>
      </w:r>
      <w:bookmarkEnd w:id="33"/>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坚持把解决好“三农”问题作为</w:t>
      </w:r>
      <w:r>
        <w:rPr>
          <w:rFonts w:hint="eastAsia" w:ascii="Times New Roman" w:hAnsi="Times New Roman" w:eastAsia="仿宋_GB2312"/>
          <w:sz w:val="32"/>
          <w:szCs w:val="32"/>
        </w:rPr>
        <w:t>全党工作的</w:t>
      </w:r>
      <w:r>
        <w:rPr>
          <w:rFonts w:ascii="Times New Roman" w:hAnsi="Times New Roman" w:eastAsia="仿宋_GB2312"/>
          <w:sz w:val="32"/>
          <w:szCs w:val="32"/>
        </w:rPr>
        <w:t>重中之重，优先发展农业农村，建立健全五级书记抓乡村振兴的领导体制和工作机制，落实乡村振兴</w:t>
      </w:r>
      <w:r>
        <w:rPr>
          <w:rFonts w:hint="eastAsia" w:ascii="Times New Roman" w:hAnsi="Times New Roman" w:eastAsia="仿宋_GB2312"/>
          <w:sz w:val="32"/>
          <w:szCs w:val="32"/>
        </w:rPr>
        <w:t>战略</w:t>
      </w:r>
      <w:r>
        <w:rPr>
          <w:rFonts w:ascii="Times New Roman" w:hAnsi="Times New Roman" w:eastAsia="仿宋_GB2312"/>
          <w:sz w:val="32"/>
          <w:szCs w:val="32"/>
        </w:rPr>
        <w:t>“产业兴旺、生态宜居、乡风文明、治理有效、生活富裕”总要求，实施乡村建设行动，加快农业农村现代化，围绕农业农村“五个振兴”“六大行动”88条工作举措，推进“25688”战略，打造乡村振兴“徽州样板”。</w:t>
      </w:r>
    </w:p>
    <w:p>
      <w:pPr>
        <w:pStyle w:val="3"/>
        <w:jc w:val="center"/>
        <w:rPr>
          <w:rFonts w:ascii="Times New Roman" w:hAnsi="Times New Roman" w:eastAsia="楷体_GB2312"/>
          <w:sz w:val="36"/>
          <w:szCs w:val="36"/>
        </w:rPr>
      </w:pPr>
      <w:bookmarkStart w:id="34" w:name="_Toc19704"/>
      <w:r>
        <w:rPr>
          <w:rFonts w:ascii="Times New Roman" w:hAnsi="Times New Roman" w:eastAsia="楷体_GB2312"/>
          <w:sz w:val="36"/>
          <w:szCs w:val="36"/>
        </w:rPr>
        <w:t>第</w:t>
      </w:r>
      <w:r>
        <w:rPr>
          <w:rFonts w:hint="eastAsia" w:ascii="Times New Roman" w:hAnsi="Times New Roman" w:eastAsia="楷体_GB2312"/>
          <w:sz w:val="36"/>
          <w:szCs w:val="36"/>
        </w:rPr>
        <w:t>一</w:t>
      </w:r>
      <w:r>
        <w:rPr>
          <w:rFonts w:ascii="Times New Roman" w:hAnsi="Times New Roman" w:eastAsia="楷体_GB2312"/>
          <w:sz w:val="36"/>
          <w:szCs w:val="36"/>
        </w:rPr>
        <w:t>节  巩固拓展脱贫攻坚成果同乡村振兴衔接</w:t>
      </w:r>
      <w:bookmarkEnd w:id="34"/>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巩固拓展</w:t>
      </w:r>
      <w:r>
        <w:rPr>
          <w:rFonts w:ascii="Times New Roman" w:hAnsi="Times New Roman" w:eastAsia="仿宋_GB2312"/>
          <w:sz w:val="32"/>
          <w:szCs w:val="32"/>
        </w:rPr>
        <w:t>脱贫</w:t>
      </w:r>
      <w:r>
        <w:rPr>
          <w:rFonts w:hint="eastAsia" w:ascii="Times New Roman" w:hAnsi="Times New Roman" w:eastAsia="仿宋_GB2312"/>
          <w:sz w:val="32"/>
          <w:szCs w:val="32"/>
        </w:rPr>
        <w:t>攻坚成果同</w:t>
      </w:r>
      <w:r>
        <w:rPr>
          <w:rFonts w:ascii="Times New Roman" w:hAnsi="Times New Roman" w:eastAsia="仿宋_GB2312"/>
          <w:sz w:val="32"/>
          <w:szCs w:val="32"/>
        </w:rPr>
        <w:t>乡村振兴有效衔接机制，实施脱贫攻坚巩固行动，推动减贫战略和工作体系平稳转型，在规划、政策、体制、机制等方面对接融合。</w:t>
      </w:r>
    </w:p>
    <w:p>
      <w:pPr>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持续巩固拓展脱贫攻坚成果。</w:t>
      </w:r>
      <w:r>
        <w:rPr>
          <w:rFonts w:hint="eastAsia" w:ascii="Times New Roman" w:hAnsi="Times New Roman" w:eastAsia="仿宋_GB2312"/>
          <w:sz w:val="32"/>
          <w:szCs w:val="32"/>
        </w:rPr>
        <w:t>大力巩固“户脱贫、村出列”成效，健全防止返贫动态监测、帮扶和风险防范机制，</w:t>
      </w:r>
      <w:r>
        <w:rPr>
          <w:rFonts w:ascii="Times New Roman" w:hAnsi="Times New Roman" w:eastAsia="仿宋_GB2312"/>
          <w:sz w:val="32"/>
          <w:szCs w:val="32"/>
        </w:rPr>
        <w:t>保持出列贫困村定点帮扶、驻村帮扶、社会帮扶等长效机制</w:t>
      </w:r>
      <w:r>
        <w:rPr>
          <w:rFonts w:hint="eastAsia" w:ascii="Times New Roman" w:hAnsi="Times New Roman" w:eastAsia="仿宋_GB2312"/>
          <w:sz w:val="32"/>
          <w:szCs w:val="32"/>
        </w:rPr>
        <w:t>，</w:t>
      </w:r>
      <w:r>
        <w:rPr>
          <w:rFonts w:ascii="Times New Roman" w:hAnsi="Times New Roman" w:eastAsia="仿宋_GB2312"/>
          <w:sz w:val="32"/>
          <w:szCs w:val="32"/>
        </w:rPr>
        <w:t>落实“一户一策”帮扶措施，</w:t>
      </w:r>
      <w:r>
        <w:rPr>
          <w:rFonts w:hint="eastAsia" w:ascii="Times New Roman" w:hAnsi="Times New Roman" w:eastAsia="仿宋_GB2312"/>
          <w:sz w:val="32"/>
          <w:szCs w:val="32"/>
        </w:rPr>
        <w:t>对易返贫致贫人口及时发现、及时帮扶，防止出现返贫致贫现象。持续做好易地搬迁后续帮扶工作，加强扶贫项目资产管理和监督。</w:t>
      </w:r>
    </w:p>
    <w:p>
      <w:pPr>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持续</w:t>
      </w:r>
      <w:r>
        <w:rPr>
          <w:rFonts w:ascii="Times New Roman" w:hAnsi="Times New Roman" w:eastAsia="仿宋_GB2312"/>
          <w:b/>
          <w:bCs/>
          <w:sz w:val="32"/>
          <w:szCs w:val="32"/>
        </w:rPr>
        <w:t>推进出列贫困村</w:t>
      </w:r>
      <w:r>
        <w:rPr>
          <w:rFonts w:hint="eastAsia" w:ascii="Times New Roman" w:hAnsi="Times New Roman" w:eastAsia="仿宋_GB2312"/>
          <w:b/>
          <w:bCs/>
          <w:sz w:val="32"/>
          <w:szCs w:val="32"/>
        </w:rPr>
        <w:t>乡村</w:t>
      </w:r>
      <w:r>
        <w:rPr>
          <w:rFonts w:ascii="Times New Roman" w:hAnsi="Times New Roman" w:eastAsia="仿宋_GB2312"/>
          <w:b/>
          <w:bCs/>
          <w:sz w:val="32"/>
          <w:szCs w:val="32"/>
        </w:rPr>
        <w:t>振兴。</w:t>
      </w:r>
      <w:r>
        <w:rPr>
          <w:rFonts w:hint="eastAsia" w:ascii="Times New Roman" w:hAnsi="Times New Roman" w:eastAsia="仿宋_GB2312"/>
          <w:sz w:val="32"/>
          <w:szCs w:val="32"/>
        </w:rPr>
        <w:t>完善出列贫困村衔接过渡期帮扶政策和资金支持，逐步实现由集中资源支持脱贫攻坚向全面推进乡村振兴平稳过渡。</w:t>
      </w:r>
      <w:r>
        <w:rPr>
          <w:rFonts w:ascii="Times New Roman" w:hAnsi="Times New Roman" w:eastAsia="仿宋_GB2312"/>
          <w:sz w:val="32"/>
          <w:szCs w:val="32"/>
        </w:rPr>
        <w:t>持续开展产业帮扶</w:t>
      </w:r>
      <w:r>
        <w:rPr>
          <w:rFonts w:hint="eastAsia" w:ascii="Times New Roman" w:hAnsi="Times New Roman" w:eastAsia="仿宋_GB2312"/>
          <w:sz w:val="32"/>
          <w:szCs w:val="32"/>
        </w:rPr>
        <w:t>和基础设施、公共服务设施配套</w:t>
      </w:r>
      <w:r>
        <w:rPr>
          <w:rFonts w:ascii="Times New Roman" w:hAnsi="Times New Roman" w:eastAsia="仿宋_GB2312"/>
          <w:sz w:val="32"/>
          <w:szCs w:val="32"/>
        </w:rPr>
        <w:t>，充分发挥新型“主体”带动作用，</w:t>
      </w:r>
      <w:r>
        <w:rPr>
          <w:rFonts w:hint="eastAsia" w:ascii="Times New Roman" w:hAnsi="Times New Roman" w:eastAsia="仿宋_GB2312"/>
          <w:sz w:val="32"/>
          <w:szCs w:val="32"/>
        </w:rPr>
        <w:t>围绕“种、养、加、光、电、游”业态，鼓励脱贫户继续发展特色种养业，促进消费扶贫行动，通过开发公益性岗位、居家就业、村级项目、光伏收益分配等方式，吸纳脱贫人口和低收入人口就地就近就业增加收入。</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加强农村低收入人口常态化帮扶。</w:t>
      </w:r>
      <w:r>
        <w:rPr>
          <w:rFonts w:hint="eastAsia" w:ascii="Times New Roman" w:hAnsi="Times New Roman" w:eastAsia="仿宋_GB2312"/>
          <w:sz w:val="32"/>
          <w:szCs w:val="32"/>
        </w:rPr>
        <w:t>开展</w:t>
      </w:r>
      <w:r>
        <w:rPr>
          <w:rFonts w:ascii="Times New Roman" w:hAnsi="Times New Roman" w:eastAsia="仿宋_GB2312"/>
          <w:sz w:val="32"/>
          <w:szCs w:val="32"/>
        </w:rPr>
        <w:t>农村低收入人口动态监测，实行分层分类帮扶。对有劳动能力的农村低收入人口，坚持开发式帮扶，帮助其提高内生发展能力，发展产业、参与就业，依靠双手勤劳致富。对脱贫人口中丧失劳动能力且无法通过产业就业获得稳定收入的人口，以现有社会保障体系为基础，按规定纳入农村低保或特困人员救助供养范围，并按困难类型及时给予专项救助、临时救助。</w:t>
      </w:r>
    </w:p>
    <w:p>
      <w:pPr>
        <w:pStyle w:val="3"/>
        <w:jc w:val="center"/>
        <w:rPr>
          <w:rFonts w:ascii="Times New Roman" w:hAnsi="Times New Roman" w:eastAsia="楷体_GB2312"/>
          <w:sz w:val="36"/>
          <w:szCs w:val="36"/>
        </w:rPr>
      </w:pPr>
      <w:bookmarkStart w:id="35" w:name="_Toc25619"/>
      <w:r>
        <w:rPr>
          <w:rFonts w:ascii="Times New Roman" w:hAnsi="Times New Roman" w:eastAsia="楷体_GB2312"/>
          <w:sz w:val="36"/>
          <w:szCs w:val="36"/>
        </w:rPr>
        <w:t>第</w:t>
      </w:r>
      <w:r>
        <w:rPr>
          <w:rFonts w:hint="eastAsia" w:ascii="Times New Roman" w:hAnsi="Times New Roman" w:eastAsia="楷体_GB2312"/>
          <w:sz w:val="36"/>
          <w:szCs w:val="36"/>
        </w:rPr>
        <w:t>二</w:t>
      </w:r>
      <w:r>
        <w:rPr>
          <w:rFonts w:ascii="Times New Roman" w:hAnsi="Times New Roman" w:eastAsia="楷体_GB2312"/>
          <w:sz w:val="36"/>
          <w:szCs w:val="36"/>
        </w:rPr>
        <w:t>节  推进农业产业提质</w:t>
      </w:r>
      <w:bookmarkEnd w:id="35"/>
    </w:p>
    <w:p>
      <w:pPr>
        <w:ind w:firstLine="640" w:firstLineChars="200"/>
        <w:rPr>
          <w:rFonts w:ascii="Times New Roman" w:hAnsi="Times New Roman" w:eastAsia="仿宋_GB2312"/>
          <w:sz w:val="32"/>
          <w:szCs w:val="32"/>
        </w:rPr>
      </w:pPr>
      <w:r>
        <w:rPr>
          <w:rFonts w:ascii="Times New Roman" w:hAnsi="Times New Roman" w:eastAsia="仿宋_GB2312"/>
          <w:sz w:val="32"/>
          <w:szCs w:val="32"/>
        </w:rPr>
        <w:t>持续强化农业基础地位，深入推进农业供给侧结构性改革，实施农村产业提质行动，推进产业培优、产品提质、品牌打造，加快绿色发展、融合发展、精致发展。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提升精致产业。</w:t>
      </w:r>
      <w:r>
        <w:rPr>
          <w:rFonts w:ascii="Times New Roman" w:hAnsi="Times New Roman" w:eastAsia="仿宋_GB2312"/>
          <w:sz w:val="32"/>
          <w:szCs w:val="32"/>
        </w:rPr>
        <w:t>大力推进茶产业提升发展，用好黄山毛峰原产地和核心产区知名度，强化“中国十大茶叶区域公用品牌”地位，</w:t>
      </w:r>
      <w:r>
        <w:rPr>
          <w:rFonts w:hint="eastAsia" w:ascii="Times New Roman" w:hAnsi="Times New Roman" w:eastAsia="仿宋_GB2312"/>
          <w:sz w:val="32"/>
          <w:szCs w:val="32"/>
        </w:rPr>
        <w:t>加大徽茶产业集群建设，</w:t>
      </w:r>
      <w:r>
        <w:rPr>
          <w:rFonts w:ascii="Times New Roman" w:hAnsi="Times New Roman" w:eastAsia="仿宋_GB2312"/>
          <w:sz w:val="32"/>
          <w:szCs w:val="32"/>
        </w:rPr>
        <w:t>支持茶业龙头企业做大做强和精深加工，</w:t>
      </w:r>
      <w:r>
        <w:rPr>
          <w:rFonts w:hint="eastAsia" w:ascii="Times New Roman" w:hAnsi="Times New Roman" w:eastAsia="仿宋_GB2312"/>
          <w:sz w:val="32"/>
          <w:szCs w:val="32"/>
        </w:rPr>
        <w:t>构建黄山毛峰茶产业生态体系，</w:t>
      </w:r>
      <w:r>
        <w:rPr>
          <w:rFonts w:ascii="Times New Roman" w:hAnsi="Times New Roman" w:eastAsia="仿宋_GB2312"/>
          <w:sz w:val="32"/>
          <w:szCs w:val="32"/>
        </w:rPr>
        <w:t>提升黄山毛峰绿色生态竞争力。大力发展蜂业，提标建设中蜂基地，延伸蜂业加工产业链。抓好菊花、香榧、油茶、小黄牛、泉水鱼、皖南花猪、果蔬、花卉等特色产业规模化发展、品质化提升，着力打造长三角绿色农产品生产加工供应基地。积极发展绿色订单农业，全面推广绿色生态防控和“三品一标”产品全程可追溯，推进农业保险工作，打造一批绿色生态农业品牌，</w:t>
      </w:r>
      <w:r>
        <w:rPr>
          <w:rFonts w:hint="eastAsia" w:ascii="Times New Roman" w:hAnsi="Times New Roman" w:eastAsia="仿宋_GB2312"/>
          <w:sz w:val="32"/>
          <w:szCs w:val="32"/>
        </w:rPr>
        <w:t>用好“田园徽州”绿色农产品区域公共品牌，</w:t>
      </w:r>
      <w:r>
        <w:rPr>
          <w:rFonts w:ascii="Times New Roman" w:hAnsi="Times New Roman" w:eastAsia="仿宋_GB2312"/>
          <w:sz w:val="32"/>
          <w:szCs w:val="32"/>
        </w:rPr>
        <w:t>创建一批</w:t>
      </w:r>
      <w:r>
        <w:rPr>
          <w:rFonts w:hint="eastAsia" w:ascii="Times New Roman" w:hAnsi="Times New Roman" w:eastAsia="仿宋_GB2312"/>
          <w:sz w:val="32"/>
          <w:szCs w:val="32"/>
        </w:rPr>
        <w:t>省级以上</w:t>
      </w:r>
      <w:r>
        <w:rPr>
          <w:rFonts w:ascii="Times New Roman" w:hAnsi="Times New Roman" w:eastAsia="仿宋_GB2312"/>
          <w:sz w:val="32"/>
          <w:szCs w:val="32"/>
        </w:rPr>
        <w:t>“一村一品”示范村。</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推进一二三产业融合发展。</w:t>
      </w:r>
      <w:r>
        <w:rPr>
          <w:rFonts w:ascii="Times New Roman" w:hAnsi="Times New Roman" w:eastAsia="仿宋_GB2312"/>
          <w:sz w:val="32"/>
          <w:szCs w:val="32"/>
        </w:rPr>
        <w:t>适应城镇居民“回归田园”消费心态和需求，立足当地资源挖掘特色、拓展功能，因地制宜实施休闲农业和乡村旅游精品工程，推进单一农业产品生产向农事活动体验、农业景观旅游转变，加深农业与旅游、文化、健康养生等产业融合，全面延伸农产品价值链，打造一批乡村旅游业态、休闲农业基地、田园综合体。支持谢裕大等重点农业企业积极发展创</w:t>
      </w:r>
      <w:r>
        <w:rPr>
          <w:rFonts w:hint="eastAsia" w:ascii="Times New Roman" w:hAnsi="Times New Roman" w:eastAsia="仿宋_GB2312"/>
          <w:sz w:val="32"/>
          <w:szCs w:val="32"/>
        </w:rPr>
        <w:t>意</w:t>
      </w:r>
      <w:r>
        <w:rPr>
          <w:rFonts w:ascii="Times New Roman" w:hAnsi="Times New Roman" w:eastAsia="仿宋_GB2312"/>
          <w:sz w:val="32"/>
          <w:szCs w:val="32"/>
        </w:rPr>
        <w:t>农业、观光农业、都市农业、生态农业等新业态。健全农村金融服务体系，开展“信用村”创建。</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培育新型经营主体。</w:t>
      </w:r>
      <w:r>
        <w:rPr>
          <w:rFonts w:ascii="Times New Roman" w:hAnsi="Times New Roman" w:eastAsia="仿宋_GB2312"/>
          <w:sz w:val="32"/>
          <w:szCs w:val="32"/>
        </w:rPr>
        <w:t>实施新型农业经营主体培育工程，发展多种形式的适度规模经营，完善“龙头企业+合作社+基地+农户”合作模式，扩大农业产业联合体利益联结共享，新增一批省级以上农业产业化龙头企业、农民合作</w:t>
      </w:r>
      <w:r>
        <w:rPr>
          <w:rFonts w:hint="eastAsia" w:ascii="Times New Roman" w:hAnsi="Times New Roman" w:eastAsia="仿宋_GB2312"/>
          <w:sz w:val="32"/>
          <w:szCs w:val="32"/>
        </w:rPr>
        <w:t>社</w:t>
      </w:r>
      <w:r>
        <w:rPr>
          <w:rFonts w:ascii="Times New Roman" w:hAnsi="Times New Roman" w:eastAsia="仿宋_GB2312"/>
          <w:sz w:val="32"/>
          <w:szCs w:val="32"/>
        </w:rPr>
        <w:t>、家庭农场。加大新型农民、技能农民培训力度，加快培养一批爱农业、懂技术、善经营的新型职业农民、农村实用人才、农村产业带头人。支持有条件的乡村依托城郊结合、交通干线建设厂房、仓储、冷库等设施，发展物业经济、电子商务，促进村民转移就业。</w:t>
      </w:r>
    </w:p>
    <w:p>
      <w:pPr>
        <w:pStyle w:val="3"/>
        <w:jc w:val="center"/>
        <w:rPr>
          <w:rFonts w:ascii="Times New Roman" w:hAnsi="Times New Roman" w:eastAsia="楷体_GB2312"/>
          <w:sz w:val="36"/>
          <w:szCs w:val="36"/>
        </w:rPr>
      </w:pPr>
      <w:bookmarkStart w:id="36" w:name="_Toc9039"/>
      <w:r>
        <w:rPr>
          <w:rFonts w:ascii="Times New Roman" w:hAnsi="Times New Roman" w:eastAsia="楷体_GB2312"/>
          <w:sz w:val="36"/>
          <w:szCs w:val="36"/>
        </w:rPr>
        <w:t>第</w:t>
      </w:r>
      <w:r>
        <w:rPr>
          <w:rFonts w:hint="eastAsia" w:ascii="Times New Roman" w:hAnsi="Times New Roman" w:eastAsia="楷体_GB2312"/>
          <w:sz w:val="36"/>
          <w:szCs w:val="36"/>
        </w:rPr>
        <w:t>三</w:t>
      </w:r>
      <w:r>
        <w:rPr>
          <w:rFonts w:ascii="Times New Roman" w:hAnsi="Times New Roman" w:eastAsia="楷体_GB2312"/>
          <w:sz w:val="36"/>
          <w:szCs w:val="36"/>
        </w:rPr>
        <w:t>节  实施乡村建设行动</w:t>
      </w:r>
      <w:bookmarkEnd w:id="36"/>
    </w:p>
    <w:p>
      <w:pPr>
        <w:ind w:firstLine="640" w:firstLineChars="200"/>
        <w:rPr>
          <w:rFonts w:ascii="Times New Roman" w:hAnsi="Times New Roman" w:eastAsia="仿宋_GB2312"/>
          <w:sz w:val="32"/>
          <w:szCs w:val="32"/>
        </w:rPr>
      </w:pPr>
      <w:r>
        <w:rPr>
          <w:rFonts w:ascii="Times New Roman" w:hAnsi="Times New Roman" w:eastAsia="仿宋_GB2312"/>
          <w:sz w:val="32"/>
          <w:szCs w:val="32"/>
        </w:rPr>
        <w:t>把乡村建设摆在社会主义现代化建设的重要位置，持续改善村容村貌和人居环境，持续优化生产生活生态空间，把乡镇建成服务农民的区域中心，建设产业强、生态美、乡风好、治理优、百姓富的新时代幸福新农村。</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提升农村风貌。</w:t>
      </w:r>
      <w:r>
        <w:rPr>
          <w:rFonts w:ascii="Times New Roman" w:hAnsi="Times New Roman" w:eastAsia="仿宋_GB2312"/>
          <w:sz w:val="32"/>
          <w:szCs w:val="32"/>
        </w:rPr>
        <w:t>大力实施农村风貌提升行动，健全村庄建设、村落保护、产业发展等“多规合一”实用性规划，提升村庄规划建设管理水平，让“望得见山、看得见水、记得住乡愁”成为徽州乡村最鲜明的标识符。实施农村“双基”巩固提升工程，统筹推进农村防洪设施、</w:t>
      </w:r>
      <w:r>
        <w:rPr>
          <w:rFonts w:hint="eastAsia" w:ascii="Times New Roman" w:hAnsi="Times New Roman" w:eastAsia="仿宋_GB2312"/>
          <w:sz w:val="32"/>
          <w:szCs w:val="32"/>
        </w:rPr>
        <w:t>高标准农田改造提升</w:t>
      </w:r>
      <w:r>
        <w:rPr>
          <w:rFonts w:ascii="Times New Roman" w:hAnsi="Times New Roman" w:eastAsia="仿宋_GB2312"/>
          <w:sz w:val="32"/>
          <w:szCs w:val="32"/>
        </w:rPr>
        <w:t>、农药集中配送、道路交通等生产性基础设施和农村电网、饮水安全、污水处理等生活性基础设施建设，加大教育、医疗卫生、公共文化、社会保障、养老设施和气象服务、减灾救灾等资源向农村倾斜。推进农村</w:t>
      </w:r>
      <w:r>
        <w:rPr>
          <w:rFonts w:hint="eastAsia" w:ascii="Times New Roman" w:hAnsi="Times New Roman" w:eastAsia="仿宋_GB2312"/>
          <w:sz w:val="32"/>
          <w:szCs w:val="32"/>
        </w:rPr>
        <w:t>人居</w:t>
      </w:r>
      <w:r>
        <w:rPr>
          <w:rFonts w:ascii="Times New Roman" w:hAnsi="Times New Roman" w:eastAsia="仿宋_GB2312"/>
          <w:sz w:val="32"/>
          <w:szCs w:val="32"/>
        </w:rPr>
        <w:t>环境整治，深入开展“百村示范、千村整治”工程，持续推进农村“三大革命”“三大行动”，实施农村人居环境提升工程和美丽乡村品质提升工程，健全日常管护长效机制，完善全域垃圾智能化收转运体系，打造美丽乡村升级版。注重发挥群众主体作用，引导群众参与村级公益事业，全面推</w:t>
      </w:r>
      <w:r>
        <w:rPr>
          <w:rFonts w:hint="eastAsia" w:ascii="Times New Roman" w:hAnsi="Times New Roman" w:eastAsia="仿宋_GB2312"/>
          <w:sz w:val="32"/>
          <w:szCs w:val="32"/>
        </w:rPr>
        <w:t>进</w:t>
      </w:r>
      <w:r>
        <w:rPr>
          <w:rFonts w:ascii="Times New Roman" w:hAnsi="Times New Roman" w:eastAsia="仿宋_GB2312"/>
          <w:sz w:val="32"/>
          <w:szCs w:val="32"/>
        </w:rPr>
        <w:t>“美丽庭院”“一米菜园”等创建活动。</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塑新农村风尚。</w:t>
      </w:r>
      <w:r>
        <w:rPr>
          <w:rFonts w:ascii="Times New Roman" w:hAnsi="Times New Roman" w:eastAsia="仿宋_GB2312"/>
          <w:sz w:val="32"/>
          <w:szCs w:val="32"/>
        </w:rPr>
        <w:t>大力实施农村风尚塑新行动，夯实乡风文明建设阵地，对照“五有”标准建好用好村级新时代文明实践站，办好农村文化礼堂，深度挖掘徽州优秀传统文化，打造一批传承“乡愁文化”的村史馆，形成“一村一品”乡村文化品牌。加强乡风文明队伍建设，组建村级志愿服务队伍，打造乡贤名人馆，运用乡贤文化推进村庄治理。持续完善“一约四会”建设，</w:t>
      </w:r>
      <w:r>
        <w:rPr>
          <w:rFonts w:hint="eastAsia" w:ascii="仿宋_GB2312" w:eastAsia="仿宋_GB2312"/>
          <w:sz w:val="32"/>
          <w:szCs w:val="32"/>
        </w:rPr>
        <w:t>推进村规民约积分管理，</w:t>
      </w:r>
      <w:r>
        <w:rPr>
          <w:rFonts w:ascii="Times New Roman" w:hAnsi="Times New Roman" w:eastAsia="仿宋_GB2312"/>
          <w:sz w:val="32"/>
          <w:szCs w:val="32"/>
        </w:rPr>
        <w:t>广泛开展文明村镇、文明家庭、星级文明户、身边好人好事等评选创建活动，培育农村文明时代新风。丰富农村群众文化生活，开设乡村振兴讲堂，推进乡村文化人才队伍建设，常态</w:t>
      </w:r>
      <w:r>
        <w:rPr>
          <w:rFonts w:hint="eastAsia" w:ascii="Times New Roman" w:hAnsi="Times New Roman" w:eastAsia="仿宋_GB2312"/>
          <w:sz w:val="32"/>
          <w:szCs w:val="32"/>
        </w:rPr>
        <w:t>化</w:t>
      </w:r>
      <w:r>
        <w:rPr>
          <w:rFonts w:ascii="Times New Roman" w:hAnsi="Times New Roman" w:eastAsia="仿宋_GB2312"/>
          <w:sz w:val="32"/>
          <w:szCs w:val="32"/>
        </w:rPr>
        <w:t>开展“夸夸”系列活动和群众性文体活动，增强村民归属感和凝聚力。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建设善治乡村。</w:t>
      </w:r>
      <w:r>
        <w:rPr>
          <w:rFonts w:ascii="Times New Roman" w:hAnsi="Times New Roman" w:eastAsia="仿宋_GB2312"/>
          <w:sz w:val="32"/>
          <w:szCs w:val="32"/>
        </w:rPr>
        <w:t>加强村级党组织建设，深化村党组织书记领头雁工程，强化村两委班子建设，选优配强村党组书记，推进村干部队伍专职化管理和量化考核，抓好农村党员</w:t>
      </w:r>
      <w:r>
        <w:rPr>
          <w:rFonts w:hint="eastAsia" w:ascii="Times New Roman" w:hAnsi="Times New Roman" w:eastAsia="仿宋_GB2312"/>
          <w:sz w:val="32"/>
          <w:szCs w:val="32"/>
        </w:rPr>
        <w:t>、干部</w:t>
      </w:r>
      <w:r>
        <w:rPr>
          <w:rFonts w:ascii="Times New Roman" w:hAnsi="Times New Roman" w:eastAsia="仿宋_GB2312"/>
          <w:sz w:val="32"/>
          <w:szCs w:val="32"/>
        </w:rPr>
        <w:t>队伍管理。加强农村群众性自治组织建设，建立健全村党组织领导</w:t>
      </w:r>
      <w:r>
        <w:rPr>
          <w:rFonts w:hint="eastAsia" w:ascii="Times New Roman" w:hAnsi="Times New Roman" w:eastAsia="仿宋_GB2312"/>
          <w:sz w:val="32"/>
          <w:szCs w:val="32"/>
        </w:rPr>
        <w:t>下</w:t>
      </w:r>
      <w:r>
        <w:rPr>
          <w:rFonts w:ascii="Times New Roman" w:hAnsi="Times New Roman" w:eastAsia="仿宋_GB2312"/>
          <w:sz w:val="32"/>
          <w:szCs w:val="32"/>
        </w:rPr>
        <w:t>充满活力的村民自治机制，完善村级“小微权力”清单制度，推进村级事务流程化、阳光化管理</w:t>
      </w:r>
      <w:r>
        <w:rPr>
          <w:rFonts w:hint="eastAsia" w:ascii="Times New Roman" w:hAnsi="Times New Roman" w:eastAsia="仿宋_GB2312"/>
          <w:sz w:val="32"/>
          <w:szCs w:val="32"/>
        </w:rPr>
        <w:t>，稳步推进</w:t>
      </w:r>
      <w:r>
        <w:rPr>
          <w:rFonts w:hint="eastAsia" w:hAnsi="仿宋_GB2312" w:eastAsia="仿宋_GB2312" w:cs="仿宋_GB2312"/>
          <w:sz w:val="32"/>
          <w:szCs w:val="32"/>
        </w:rPr>
        <w:t>村集体“三资”管理提级监督试点。</w:t>
      </w:r>
      <w:r>
        <w:rPr>
          <w:rFonts w:ascii="Times New Roman" w:hAnsi="Times New Roman" w:eastAsia="仿宋_GB2312"/>
          <w:sz w:val="32"/>
          <w:szCs w:val="32"/>
        </w:rPr>
        <w:t>深化平安乡村建设，完善网络化基层治理体系，落实“一村一法律顾问”制度，推广平安银行积分制创建，推进省级乡村治理示范县、乡镇、村三级联创。加强农村人才队伍建设，建立人才入乡激励机制。</w:t>
      </w:r>
    </w:p>
    <w:p>
      <w:pPr>
        <w:pStyle w:val="3"/>
        <w:jc w:val="center"/>
        <w:rPr>
          <w:rFonts w:ascii="Times New Roman" w:hAnsi="Times New Roman" w:eastAsia="楷体_GB2312"/>
          <w:sz w:val="36"/>
          <w:szCs w:val="36"/>
        </w:rPr>
      </w:pPr>
      <w:bookmarkStart w:id="37" w:name="_Toc15458"/>
      <w:r>
        <w:rPr>
          <w:rFonts w:ascii="Times New Roman" w:hAnsi="Times New Roman" w:eastAsia="楷体_GB2312"/>
          <w:sz w:val="36"/>
          <w:szCs w:val="36"/>
        </w:rPr>
        <w:t>第</w:t>
      </w:r>
      <w:r>
        <w:rPr>
          <w:rFonts w:hint="eastAsia" w:ascii="Times New Roman" w:hAnsi="Times New Roman" w:eastAsia="楷体_GB2312"/>
          <w:sz w:val="36"/>
          <w:szCs w:val="36"/>
        </w:rPr>
        <w:t>四</w:t>
      </w:r>
      <w:r>
        <w:rPr>
          <w:rFonts w:ascii="Times New Roman" w:hAnsi="Times New Roman" w:eastAsia="楷体_GB2312"/>
          <w:sz w:val="36"/>
          <w:szCs w:val="36"/>
        </w:rPr>
        <w:t>节  深化农村改革</w:t>
      </w:r>
      <w:bookmarkEnd w:id="37"/>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坚持把深化农村土地制度改革与推动城乡要素流动、激发农民活力更好的结合起来，巩固深化产权制度改革成果，增强乡村发展活</w:t>
      </w:r>
      <w:r>
        <w:rPr>
          <w:rFonts w:hint="eastAsia" w:ascii="Times New Roman" w:hAnsi="Times New Roman" w:eastAsia="仿宋_GB2312"/>
          <w:sz w:val="32"/>
          <w:szCs w:val="32"/>
        </w:rPr>
        <w:t>力</w:t>
      </w:r>
      <w:r>
        <w:rPr>
          <w:rFonts w:ascii="Times New Roman" w:hAnsi="Times New Roman" w:eastAsia="仿宋_GB2312"/>
          <w:sz w:val="32"/>
          <w:szCs w:val="32"/>
        </w:rPr>
        <w:t>，为乡村振兴探索新路子、注入新活力。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深化农村土地制度改革</w:t>
      </w:r>
      <w:r>
        <w:rPr>
          <w:rFonts w:ascii="Times New Roman" w:hAnsi="Times New Roman" w:eastAsia="仿宋_GB2312"/>
          <w:sz w:val="32"/>
          <w:szCs w:val="32"/>
        </w:rPr>
        <w:t>。落实第二轮土地承包到期后再延长三十年政策，完善农村承包地“三权分置”制度，引导农民依法自愿有偿流转土地经营权，发展适度规模经营，实现小农户与现代农业有机衔接。深化农村土地征收制度改革，有序推进农村集体经营性建设用地入市，稳步提高土地出让收入用于农业农村比例。保障进城落实农民土地承包权、宅基地使用权、集体收益分配权，积极探索宅基地所有权、资格权、使用权分置实现形式，用好城乡建设用地增减挂钩政策，做好闲置宅基地、闲置农房盘活利用，推进闲置、废弃以及低效利用的农村建设用地整治复垦。重视粮食安全，建立耕地</w:t>
      </w:r>
      <w:r>
        <w:rPr>
          <w:rFonts w:hint="eastAsia" w:ascii="Times New Roman" w:hAnsi="Times New Roman" w:eastAsia="仿宋_GB2312"/>
          <w:sz w:val="32"/>
          <w:szCs w:val="32"/>
        </w:rPr>
        <w:t>“非农化”“非粮化”</w:t>
      </w:r>
      <w:r>
        <w:rPr>
          <w:rFonts w:ascii="Times New Roman" w:hAnsi="Times New Roman" w:eastAsia="仿宋_GB2312"/>
          <w:sz w:val="32"/>
          <w:szCs w:val="32"/>
        </w:rPr>
        <w:t>监管长效机制。</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巩固农村集体产权制度改革。</w:t>
      </w:r>
      <w:r>
        <w:rPr>
          <w:rFonts w:ascii="Times New Roman" w:hAnsi="Times New Roman" w:eastAsia="仿宋_GB2312"/>
          <w:sz w:val="32"/>
          <w:szCs w:val="32"/>
        </w:rPr>
        <w:t>开展农村集体资产定期清查，探索赋予农村集体资产股份权能。深入推进农村“三变”改革，完善农村产权交易体系，引导农业企业、农民合作社、家庭农场等新型农业经营主体积极参与，通过折股量化、发包租赁、联合经营等方式开展合作，多途径盘活农村资源要素，促进村级集体经济发展和农民增收致富。落实村级集体发展规划，巩固拓展“村村有实体”、城乡产业融合发展等路径，提升村庄经营管理能力，</w:t>
      </w:r>
      <w:r>
        <w:rPr>
          <w:rFonts w:hint="eastAsia" w:ascii="Times New Roman" w:hAnsi="Times New Roman" w:eastAsia="仿宋_GB2312"/>
          <w:sz w:val="32"/>
          <w:szCs w:val="32"/>
        </w:rPr>
        <w:t>大力</w:t>
      </w:r>
      <w:r>
        <w:rPr>
          <w:rFonts w:ascii="Times New Roman" w:hAnsi="Times New Roman" w:eastAsia="仿宋_GB2312"/>
          <w:sz w:val="32"/>
          <w:szCs w:val="32"/>
        </w:rPr>
        <w:t>发展新型农村集体经济，打造一批集体经济强村，确保发展壮大村级集体经济工作继续走在全市前列。</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促进农民收入稳定增长。</w:t>
      </w:r>
      <w:r>
        <w:rPr>
          <w:rFonts w:ascii="Times New Roman" w:hAnsi="Times New Roman" w:eastAsia="仿宋_GB2312"/>
          <w:sz w:val="32"/>
          <w:szCs w:val="32"/>
        </w:rPr>
        <w:t>实施乡村创新创业促进行动，加强扶持引导服务，浓厚百姓创家业、能人干事业氛围。大力发展农业产业化联合体，强化保底分红、股份合作、利润返还等利益联结机制建设，让农民合理分享全产业链增值收益。鼓励农民自主创业，依托乡村特色产业、开发公益性岗位等，多渠道增加农民收入，实现农村居民家庭收入稳定增长。持续提升农村公共服务水平，整合各类涉农平台，推进乡村综合服务智慧化，改善农村信息网络和物流条件，搭建村民对外信息交流、产品外销的信息化平台。提升农村公共服务，落实分级诊疗，推进优质资源进村入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8" w:type="dxa"/>
            <w:noWrap/>
          </w:tcPr>
          <w:p>
            <w:pPr>
              <w:pStyle w:val="4"/>
              <w:jc w:val="center"/>
              <w:rPr>
                <w:rFonts w:ascii="Times New Roman" w:hAnsi="Times New Roman"/>
                <w:b/>
                <w:bCs/>
                <w:color w:val="auto"/>
                <w:sz w:val="32"/>
                <w:szCs w:val="32"/>
              </w:rPr>
            </w:pPr>
            <w:bookmarkStart w:id="38" w:name="_Toc32649"/>
            <w:r>
              <w:rPr>
                <w:rFonts w:ascii="Times New Roman" w:hAnsi="Times New Roman"/>
                <w:b/>
                <w:bCs/>
                <w:color w:val="auto"/>
                <w:sz w:val="32"/>
                <w:szCs w:val="32"/>
              </w:rPr>
              <w:t>专栏11  乡村振兴六大行动工程</w:t>
            </w:r>
            <w:bookmarkEnd w:id="38"/>
          </w:p>
          <w:p>
            <w:pPr>
              <w:snapToGrid w:val="0"/>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脱贫攻坚巩固行动。</w:t>
            </w:r>
            <w:r>
              <w:rPr>
                <w:rFonts w:ascii="Times New Roman" w:hAnsi="Times New Roman" w:eastAsia="仿宋_GB2312"/>
                <w:sz w:val="28"/>
                <w:szCs w:val="28"/>
              </w:rPr>
              <w:t>确保每个出列贫困村建成1个以上特色产业基地（园区），至2025年实现为村</w:t>
            </w:r>
            <w:r>
              <w:rPr>
                <w:rFonts w:hint="eastAsia" w:ascii="Times New Roman" w:hAnsi="Times New Roman" w:eastAsia="仿宋_GB2312"/>
                <w:sz w:val="28"/>
                <w:szCs w:val="28"/>
              </w:rPr>
              <w:t>集体</w:t>
            </w:r>
            <w:r>
              <w:rPr>
                <w:rFonts w:ascii="Times New Roman" w:hAnsi="Times New Roman" w:eastAsia="仿宋_GB2312"/>
                <w:sz w:val="28"/>
                <w:szCs w:val="28"/>
              </w:rPr>
              <w:t>增加经营性收入5万元以上。</w:t>
            </w:r>
          </w:p>
          <w:p>
            <w:pPr>
              <w:snapToGrid w:val="0"/>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农村产业提质行动。</w:t>
            </w:r>
            <w:r>
              <w:rPr>
                <w:rFonts w:hint="eastAsia" w:ascii="Times New Roman" w:hAnsi="Times New Roman" w:eastAsia="仿宋_GB2312"/>
                <w:sz w:val="28"/>
                <w:szCs w:val="28"/>
              </w:rPr>
              <w:t>新增和改造提升高标准农田1.95万亩，粮食作物年产量稳定在0.4亿斤。茶产业综合产值达15亿元以上、蜂产业综合产值达5亿元。蔬菜播种面积稳定在3万亩、产量达3.36万吨，菊花、中药材种植面积3500亩。力争农产品加工业规上企业新增4户以上，省级农业产业化联合体达12家；长三角绿色农产品加工供应基地6个；市级以上“一村一品”示范村25个。</w:t>
            </w:r>
          </w:p>
          <w:p>
            <w:pPr>
              <w:snapToGrid w:val="0"/>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农村风貌提升行动</w:t>
            </w:r>
            <w:r>
              <w:rPr>
                <w:rFonts w:ascii="Times New Roman" w:hAnsi="Times New Roman" w:eastAsia="仿宋_GB2312"/>
                <w:sz w:val="28"/>
                <w:szCs w:val="28"/>
              </w:rPr>
              <w:t>。编制好村庄建设、村落保护、产业发展等“多规合一”实用性规划，让“望得见山、看得见水、记得住乡愁”成为徽州乡村最鲜明的标识符号。打造美丽乡村升级版，</w:t>
            </w:r>
            <w:r>
              <w:rPr>
                <w:rFonts w:hint="eastAsia" w:ascii="Times New Roman" w:hAnsi="Times New Roman" w:eastAsia="仿宋_GB2312"/>
                <w:sz w:val="28"/>
                <w:szCs w:val="28"/>
              </w:rPr>
              <w:t>积极推进省级美丽乡村中心村</w:t>
            </w:r>
            <w:r>
              <w:rPr>
                <w:rFonts w:ascii="Times New Roman" w:hAnsi="Times New Roman" w:eastAsia="仿宋_GB2312"/>
                <w:sz w:val="28"/>
                <w:szCs w:val="28"/>
              </w:rPr>
              <w:t>。提高农村生活垃圾收集、生活污水集中处置率，推进“美丽庭院”创建。</w:t>
            </w:r>
          </w:p>
          <w:p>
            <w:pPr>
              <w:snapToGrid w:val="0"/>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农村风尚塑新行动</w:t>
            </w:r>
            <w:r>
              <w:rPr>
                <w:rFonts w:ascii="Times New Roman" w:hAnsi="Times New Roman" w:eastAsia="仿宋_GB2312"/>
                <w:sz w:val="28"/>
                <w:szCs w:val="28"/>
              </w:rPr>
              <w:t>。示范村均建有1个新时代文明实践站、1座农村文化礼堂、1支以上志愿服务队伍，并积极向非示范村拓展延伸。常态化开展群众性精神文明创建，实施乡村文化人才培育工程，组织村级文艺队伍。</w:t>
            </w:r>
          </w:p>
          <w:p>
            <w:pPr>
              <w:snapToGrid w:val="0"/>
              <w:spacing w:line="52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善治乡村建设行动</w:t>
            </w:r>
            <w:r>
              <w:rPr>
                <w:rFonts w:ascii="Times New Roman" w:hAnsi="Times New Roman" w:eastAsia="仿宋_GB2312"/>
                <w:sz w:val="28"/>
                <w:szCs w:val="28"/>
              </w:rPr>
              <w:t>。实施村党组织标准化建设，配优选强村两委班子，加强农村群众性自治组织建设，完善村级小微权力清单制度，完善“六有三化”标准规范化村级综治中心，推广平安银行积分制创建，大力培育农村新型经营主体和新型职业农民。确保辖区内无黑恶势力、无非法宗教渗透活动、无涉邪人员和案件事件，无重大刑事案件，群众对辖区平安建设满意度超过98%。</w:t>
            </w:r>
          </w:p>
          <w:p>
            <w:pPr>
              <w:snapToGrid w:val="0"/>
              <w:spacing w:line="520" w:lineRule="exact"/>
              <w:ind w:firstLine="562" w:firstLineChars="200"/>
            </w:pPr>
            <w:r>
              <w:rPr>
                <w:rFonts w:ascii="Times New Roman" w:hAnsi="Times New Roman" w:eastAsia="仿宋_GB2312"/>
                <w:b/>
                <w:bCs/>
                <w:sz w:val="28"/>
                <w:szCs w:val="28"/>
              </w:rPr>
              <w:t>乡村创新创业促进行动。</w:t>
            </w:r>
            <w:r>
              <w:rPr>
                <w:rFonts w:ascii="Times New Roman" w:hAnsi="Times New Roman" w:eastAsia="仿宋_GB2312"/>
                <w:sz w:val="28"/>
                <w:szCs w:val="28"/>
              </w:rPr>
              <w:t>发展新型农村集体经济，</w:t>
            </w:r>
            <w:r>
              <w:rPr>
                <w:rFonts w:hint="eastAsia" w:ascii="Times New Roman" w:hAnsi="Times New Roman" w:eastAsia="仿宋_GB2312"/>
                <w:sz w:val="28"/>
                <w:szCs w:val="28"/>
              </w:rPr>
              <w:t>壮大村</w:t>
            </w:r>
            <w:r>
              <w:rPr>
                <w:rFonts w:ascii="Times New Roman" w:hAnsi="Times New Roman" w:eastAsia="仿宋_GB2312"/>
                <w:sz w:val="28"/>
                <w:szCs w:val="28"/>
              </w:rPr>
              <w:t>集体经营性收入，确保发展村集体经济工作继续走在全市前列，打造一批村集体经济强村。让农民合理分享全产业链增值收益，推进乡村综合服务智慧化，提升农村公共服务水平。</w:t>
            </w:r>
          </w:p>
        </w:tc>
      </w:tr>
    </w:tbl>
    <w:p>
      <w:pPr>
        <w:pStyle w:val="2"/>
        <w:jc w:val="center"/>
        <w:rPr>
          <w:rFonts w:ascii="Times New Roman" w:hAnsi="Times New Roman" w:eastAsia="黑体"/>
          <w:b w:val="0"/>
          <w:bCs/>
          <w:sz w:val="36"/>
          <w:szCs w:val="36"/>
        </w:rPr>
      </w:pPr>
      <w:bookmarkStart w:id="39" w:name="_Toc4832"/>
      <w:r>
        <w:rPr>
          <w:rFonts w:ascii="Times New Roman" w:hAnsi="Times New Roman" w:eastAsia="黑体"/>
          <w:b w:val="0"/>
          <w:bCs/>
          <w:sz w:val="36"/>
          <w:szCs w:val="36"/>
        </w:rPr>
        <w:t>第七章  坚持系统空间支撑  统筹推进基础设施建设</w:t>
      </w:r>
      <w:bookmarkEnd w:id="39"/>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围绕加快构建系统完备、高效实用、智能绿化、安全可靠的现代化基础设施体系，发挥有效投资的关键作用，加快补齐交通市政、水利工程、新型基础设施等领域短板。</w:t>
      </w:r>
    </w:p>
    <w:p>
      <w:pPr>
        <w:pStyle w:val="3"/>
        <w:jc w:val="center"/>
        <w:rPr>
          <w:rFonts w:ascii="Times New Roman" w:hAnsi="Times New Roman" w:eastAsia="楷体_GB2312"/>
          <w:sz w:val="36"/>
          <w:szCs w:val="36"/>
        </w:rPr>
      </w:pPr>
      <w:bookmarkStart w:id="40" w:name="_Toc27304"/>
      <w:r>
        <w:rPr>
          <w:rFonts w:ascii="Times New Roman" w:hAnsi="Times New Roman" w:eastAsia="楷体_GB2312"/>
          <w:sz w:val="36"/>
          <w:szCs w:val="36"/>
        </w:rPr>
        <w:t>第一节  推进综合交通规划建设</w:t>
      </w:r>
      <w:bookmarkEnd w:id="40"/>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全面贯彻落实交通强国发展战略，加快补齐发展短板，推进各种交通方式融合发展，着力完善区内便捷高效的立体交通网络体系。</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完善对外交通。</w:t>
      </w:r>
      <w:r>
        <w:rPr>
          <w:rFonts w:ascii="Times New Roman" w:hAnsi="Times New Roman" w:eastAsia="仿宋_GB2312"/>
          <w:sz w:val="32"/>
          <w:szCs w:val="32"/>
        </w:rPr>
        <w:t>全面贯彻落实交通强国发展战略</w:t>
      </w:r>
      <w:r>
        <w:rPr>
          <w:rFonts w:hint="eastAsia" w:ascii="Times New Roman" w:hAnsi="Times New Roman" w:eastAsia="仿宋_GB2312"/>
          <w:sz w:val="32"/>
          <w:szCs w:val="32"/>
        </w:rPr>
        <w:t>，</w:t>
      </w:r>
      <w:r>
        <w:rPr>
          <w:rFonts w:ascii="Times New Roman" w:hAnsi="Times New Roman" w:eastAsia="仿宋_GB2312"/>
          <w:sz w:val="32"/>
          <w:szCs w:val="32"/>
        </w:rPr>
        <w:t>围绕黄山市打造皖浙赣地区性交通枢纽中心，配合推进黄山市旅游轻轨T1线等重点项目建设，积极推进G3高速呈坎开放式服务区、歙县至徽州区快速通道徽州区段公路新改建工程前期工作，开工建设呈坎</w:t>
      </w:r>
      <w:r>
        <w:rPr>
          <w:rFonts w:hint="eastAsia" w:ascii="Times New Roman" w:hAnsi="Times New Roman" w:eastAsia="仿宋_GB2312"/>
          <w:sz w:val="32"/>
          <w:szCs w:val="32"/>
        </w:rPr>
        <w:t>—</w:t>
      </w:r>
      <w:r>
        <w:rPr>
          <w:rFonts w:ascii="Times New Roman" w:hAnsi="Times New Roman" w:eastAsia="仿宋_GB2312"/>
          <w:sz w:val="32"/>
          <w:szCs w:val="32"/>
        </w:rPr>
        <w:t>许村跨境衔接公路，实施S103徽州区段黑化工程，推进与市中心城区、市开发区、歙县等交通设施衔接，完善徽州公交客运枢纽站功能配套，建成黄山风景区旅游集散中心潜口站。加密与中心城市公共交通路网，有序开展与歙县等跨区公交线路、旅游专线，推进公共交通服务覆盖面。</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改善市政交通。</w:t>
      </w:r>
      <w:r>
        <w:rPr>
          <w:rFonts w:ascii="Times New Roman" w:hAnsi="Times New Roman" w:eastAsia="仿宋_GB2312"/>
          <w:sz w:val="32"/>
          <w:szCs w:val="32"/>
        </w:rPr>
        <w:t>加快补齐城市“交通内循环”短板，加快城区道路提标、路网延伸、微循环等市政交通基础设施建设，积极推进</w:t>
      </w:r>
      <w:r>
        <w:rPr>
          <w:rFonts w:hint="eastAsia" w:ascii="Times New Roman" w:hAnsi="Times New Roman" w:eastAsia="仿宋_GB2312"/>
          <w:sz w:val="32"/>
          <w:szCs w:val="32"/>
        </w:rPr>
        <w:t>永佳大道、</w:t>
      </w:r>
      <w:r>
        <w:rPr>
          <w:rFonts w:ascii="Times New Roman" w:hAnsi="Times New Roman" w:eastAsia="仿宋_GB2312"/>
          <w:sz w:val="32"/>
          <w:szCs w:val="32"/>
        </w:rPr>
        <w:t>文峰路、南山路、二环路、环城西路、环城北路等改造提升，加快推进新力路延伸、龙</w:t>
      </w:r>
      <w:r>
        <w:rPr>
          <w:rFonts w:hint="eastAsia" w:ascii="Times New Roman" w:hAnsi="Times New Roman" w:eastAsia="仿宋_GB2312"/>
          <w:sz w:val="32"/>
          <w:szCs w:val="32"/>
        </w:rPr>
        <w:t>井</w:t>
      </w:r>
      <w:r>
        <w:rPr>
          <w:rFonts w:ascii="Times New Roman" w:hAnsi="Times New Roman" w:eastAsia="仿宋_GB2312"/>
          <w:sz w:val="32"/>
          <w:szCs w:val="32"/>
        </w:rPr>
        <w:t>三路改扩建和城北新区路网建设，进一步拉开城市发展框架。推进城区公交港湾改造、公交首末站、大型停车场建设，加密公共新能源汽车布点，推进公共交通新能源化，加大公共停车位、智慧停车场布局。提高城市交通管控水平，加大智慧交通功能配套。</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优化乡村公路网。</w:t>
      </w:r>
      <w:r>
        <w:rPr>
          <w:rFonts w:ascii="Times New Roman" w:hAnsi="Times New Roman" w:eastAsia="仿宋_GB2312"/>
          <w:sz w:val="32"/>
          <w:szCs w:val="32"/>
        </w:rPr>
        <w:t>推进</w:t>
      </w:r>
      <w:r>
        <w:rPr>
          <w:rFonts w:hint="eastAsia" w:ascii="Times New Roman" w:hAnsi="Times New Roman" w:eastAsia="仿宋_GB2312"/>
          <w:sz w:val="32"/>
          <w:szCs w:val="32"/>
        </w:rPr>
        <w:t>“四好农村路”</w:t>
      </w:r>
      <w:r>
        <w:rPr>
          <w:rFonts w:ascii="Times New Roman" w:hAnsi="Times New Roman" w:eastAsia="仿宋_GB2312"/>
          <w:sz w:val="32"/>
          <w:szCs w:val="32"/>
        </w:rPr>
        <w:t>高质量发展</w:t>
      </w:r>
      <w:r>
        <w:rPr>
          <w:rFonts w:hint="eastAsia" w:ascii="Times New Roman" w:hAnsi="Times New Roman" w:eastAsia="仿宋_GB2312"/>
          <w:sz w:val="32"/>
          <w:szCs w:val="32"/>
        </w:rPr>
        <w:t>，</w:t>
      </w:r>
      <w:r>
        <w:rPr>
          <w:rFonts w:ascii="Times New Roman" w:hAnsi="Times New Roman" w:eastAsia="仿宋_GB2312"/>
          <w:sz w:val="32"/>
          <w:szCs w:val="32"/>
        </w:rPr>
        <w:t>继续</w:t>
      </w:r>
      <w:r>
        <w:rPr>
          <w:rFonts w:hint="eastAsia" w:ascii="Times New Roman" w:hAnsi="Times New Roman" w:eastAsia="仿宋_GB2312"/>
          <w:sz w:val="32"/>
          <w:szCs w:val="32"/>
        </w:rPr>
        <w:t>实施</w:t>
      </w:r>
      <w:r>
        <w:rPr>
          <w:rFonts w:ascii="Times New Roman" w:hAnsi="Times New Roman" w:eastAsia="仿宋_GB2312"/>
          <w:sz w:val="32"/>
          <w:szCs w:val="32"/>
        </w:rPr>
        <w:t>农村公路升级改造、</w:t>
      </w:r>
      <w:r>
        <w:rPr>
          <w:rFonts w:hint="eastAsia" w:ascii="Times New Roman" w:hAnsi="Times New Roman" w:eastAsia="仿宋_GB2312"/>
          <w:sz w:val="32"/>
          <w:szCs w:val="32"/>
        </w:rPr>
        <w:t>农村公路</w:t>
      </w:r>
      <w:r>
        <w:rPr>
          <w:rFonts w:ascii="Times New Roman" w:hAnsi="Times New Roman" w:eastAsia="仿宋_GB2312"/>
          <w:sz w:val="32"/>
          <w:szCs w:val="32"/>
        </w:rPr>
        <w:t>养护</w:t>
      </w:r>
      <w:r>
        <w:rPr>
          <w:rFonts w:hint="eastAsia" w:ascii="Times New Roman" w:hAnsi="Times New Roman" w:eastAsia="仿宋_GB2312"/>
          <w:sz w:val="32"/>
          <w:szCs w:val="32"/>
        </w:rPr>
        <w:t>大中修</w:t>
      </w:r>
      <w:r>
        <w:rPr>
          <w:rFonts w:ascii="Times New Roman" w:hAnsi="Times New Roman" w:eastAsia="仿宋_GB2312"/>
          <w:sz w:val="32"/>
          <w:szCs w:val="32"/>
        </w:rPr>
        <w:t>、</w:t>
      </w:r>
      <w:r>
        <w:rPr>
          <w:rFonts w:hint="eastAsia" w:ascii="Times New Roman" w:hAnsi="Times New Roman" w:eastAsia="仿宋_GB2312"/>
          <w:sz w:val="32"/>
          <w:szCs w:val="32"/>
        </w:rPr>
        <w:t>农村公路</w:t>
      </w:r>
      <w:r>
        <w:rPr>
          <w:rFonts w:ascii="Times New Roman" w:hAnsi="Times New Roman" w:eastAsia="仿宋_GB2312"/>
          <w:sz w:val="32"/>
          <w:szCs w:val="32"/>
        </w:rPr>
        <w:t>生命安全防护、</w:t>
      </w:r>
      <w:r>
        <w:rPr>
          <w:rFonts w:hint="eastAsia" w:ascii="Times New Roman" w:hAnsi="Times New Roman" w:eastAsia="仿宋_GB2312"/>
          <w:sz w:val="32"/>
          <w:szCs w:val="32"/>
        </w:rPr>
        <w:t>农村</w:t>
      </w:r>
      <w:r>
        <w:rPr>
          <w:rFonts w:ascii="Times New Roman" w:hAnsi="Times New Roman" w:eastAsia="仿宋_GB2312"/>
          <w:sz w:val="32"/>
          <w:szCs w:val="32"/>
        </w:rPr>
        <w:t>危桥加固改造工程。推进农村公路向村组延伸，谋划实施新一轮农村公路提升工程，</w:t>
      </w:r>
      <w:r>
        <w:rPr>
          <w:rFonts w:hint="eastAsia" w:ascii="Times New Roman" w:hAnsi="Times New Roman" w:eastAsia="仿宋_GB2312"/>
          <w:sz w:val="32"/>
          <w:szCs w:val="32"/>
        </w:rPr>
        <w:t>“十四五”末农村公路规划里程达440公里，</w:t>
      </w:r>
      <w:r>
        <w:rPr>
          <w:rFonts w:ascii="Times New Roman" w:hAnsi="Times New Roman" w:eastAsia="仿宋_GB2312"/>
          <w:sz w:val="32"/>
          <w:szCs w:val="32"/>
        </w:rPr>
        <w:t>打通断头路，建设循环路，实现全域美丽公路成环成网成景</w:t>
      </w:r>
      <w:r>
        <w:rPr>
          <w:rFonts w:hint="eastAsia" w:ascii="Times New Roman" w:hAnsi="Times New Roman" w:eastAsia="仿宋_GB2312"/>
          <w:sz w:val="32"/>
          <w:szCs w:val="32"/>
        </w:rPr>
        <w:t>。</w:t>
      </w:r>
      <w:r>
        <w:rPr>
          <w:rFonts w:ascii="Times New Roman" w:hAnsi="Times New Roman" w:eastAsia="仿宋_GB2312"/>
          <w:sz w:val="32"/>
          <w:szCs w:val="32"/>
        </w:rPr>
        <w:t>接续推进城乡公交一体化建设，完善农村三级物流体系建设</w:t>
      </w:r>
      <w:r>
        <w:rPr>
          <w:rFonts w:hint="eastAsia" w:ascii="Times New Roman" w:hAnsi="Times New Roman" w:eastAsia="仿宋_GB2312"/>
          <w:sz w:val="32"/>
          <w:szCs w:val="32"/>
        </w:rPr>
        <w:t>。</w:t>
      </w:r>
      <w:r>
        <w:rPr>
          <w:rFonts w:ascii="Times New Roman" w:hAnsi="Times New Roman" w:eastAsia="仿宋_GB2312"/>
          <w:sz w:val="32"/>
          <w:szCs w:val="32"/>
        </w:rPr>
        <w:t>积极争创国家级“四好农村路”示范县，建设人民满意交通。</w:t>
      </w:r>
    </w:p>
    <w:p>
      <w:pPr>
        <w:pStyle w:val="3"/>
        <w:jc w:val="center"/>
        <w:rPr>
          <w:rFonts w:ascii="Times New Roman" w:hAnsi="Times New Roman" w:eastAsia="楷体_GB2312"/>
          <w:sz w:val="36"/>
          <w:szCs w:val="36"/>
        </w:rPr>
      </w:pPr>
      <w:bookmarkStart w:id="41" w:name="_Toc30046"/>
      <w:r>
        <w:rPr>
          <w:rFonts w:ascii="Times New Roman" w:hAnsi="Times New Roman" w:eastAsia="楷体_GB2312"/>
          <w:sz w:val="36"/>
          <w:szCs w:val="36"/>
        </w:rPr>
        <w:t>第二节  提高能源保障能力</w:t>
      </w:r>
      <w:bookmarkEnd w:id="41"/>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完善能源保障体系，加快推动能源领域基础设施建设，提高能源保障能力。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加强电力供应保障。</w:t>
      </w:r>
      <w:r>
        <w:rPr>
          <w:rFonts w:ascii="Times New Roman" w:hAnsi="Times New Roman" w:eastAsia="仿宋_GB2312"/>
          <w:sz w:val="32"/>
          <w:szCs w:val="32"/>
        </w:rPr>
        <w:t>改造岩寺110KVA变电站，新建西溪南110KVA变电站，完善园区特别循环园</w:t>
      </w:r>
      <w:r>
        <w:rPr>
          <w:rFonts w:hint="eastAsia" w:ascii="Times New Roman" w:hAnsi="Times New Roman" w:eastAsia="仿宋_GB2312"/>
          <w:sz w:val="32"/>
          <w:szCs w:val="32"/>
        </w:rPr>
        <w:t>区</w:t>
      </w:r>
      <w:r>
        <w:rPr>
          <w:rFonts w:ascii="Times New Roman" w:hAnsi="Times New Roman" w:eastAsia="仿宋_GB2312"/>
          <w:sz w:val="32"/>
          <w:szCs w:val="32"/>
        </w:rPr>
        <w:t>双回路供电线路，推进城区高负荷线路扩容和农村新一轮电网升级改造，提高供电质量和供电可靠性。加强电力设施保护和安全监管，推进老旧小区供电设施改造、合理布局小区变电站建设，有序推进部分地段电力敷地工程，加快推进泰达垃圾发电二期建成运营。</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加强油气等基础设施建设。</w:t>
      </w:r>
      <w:r>
        <w:rPr>
          <w:rFonts w:ascii="Times New Roman" w:hAnsi="Times New Roman" w:eastAsia="仿宋_GB2312"/>
          <w:sz w:val="32"/>
          <w:szCs w:val="32"/>
        </w:rPr>
        <w:t>开工建设徽州区</w:t>
      </w:r>
      <w:r>
        <w:rPr>
          <w:rFonts w:hint="eastAsia" w:ascii="Times New Roman" w:hAnsi="Times New Roman" w:eastAsia="仿宋_GB2312"/>
          <w:sz w:val="32"/>
          <w:szCs w:val="32"/>
        </w:rPr>
        <w:t>—</w:t>
      </w:r>
      <w:r>
        <w:rPr>
          <w:rFonts w:ascii="Times New Roman" w:hAnsi="Times New Roman" w:eastAsia="仿宋_GB2312"/>
          <w:sz w:val="32"/>
          <w:szCs w:val="32"/>
        </w:rPr>
        <w:t>休宁天然气</w:t>
      </w:r>
      <w:r>
        <w:rPr>
          <w:rFonts w:hint="eastAsia" w:ascii="Times New Roman" w:hAnsi="Times New Roman" w:eastAsia="仿宋_GB2312"/>
          <w:sz w:val="32"/>
          <w:szCs w:val="32"/>
        </w:rPr>
        <w:t>长输</w:t>
      </w:r>
      <w:r>
        <w:rPr>
          <w:rFonts w:ascii="Times New Roman" w:hAnsi="Times New Roman" w:eastAsia="仿宋_GB2312"/>
          <w:sz w:val="32"/>
          <w:szCs w:val="32"/>
        </w:rPr>
        <w:t>管网，提高黄山末站、港华中低压门站管理水平，加强</w:t>
      </w:r>
      <w:r>
        <w:rPr>
          <w:rFonts w:hint="eastAsia" w:ascii="Times New Roman" w:hAnsi="Times New Roman" w:eastAsia="仿宋_GB2312"/>
          <w:sz w:val="32"/>
          <w:szCs w:val="32"/>
        </w:rPr>
        <w:t>天然气</w:t>
      </w:r>
      <w:r>
        <w:rPr>
          <w:rFonts w:ascii="Times New Roman" w:hAnsi="Times New Roman" w:eastAsia="仿宋_GB2312"/>
          <w:sz w:val="32"/>
          <w:szCs w:val="32"/>
        </w:rPr>
        <w:t>长输管线、城市燃气管网安全管护，实施新建小区燃气管网配建，老旧小区改造管网同步实施、重点企业专管直达，落实冬季燃气应急保障分级管理，完善园区</w:t>
      </w:r>
      <w:r>
        <w:rPr>
          <w:rFonts w:hint="eastAsia" w:ascii="Times New Roman" w:hAnsi="Times New Roman" w:eastAsia="仿宋_GB2312"/>
          <w:sz w:val="32"/>
          <w:szCs w:val="32"/>
        </w:rPr>
        <w:t>集</w:t>
      </w:r>
      <w:r>
        <w:rPr>
          <w:rFonts w:ascii="Times New Roman" w:hAnsi="Times New Roman" w:eastAsia="仿宋_GB2312"/>
          <w:sz w:val="32"/>
          <w:szCs w:val="32"/>
        </w:rPr>
        <w:t>中供热管网系统，积极推进“煤改气”“煤改电”。合理布局成品油销售网点。</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提高能源使用管理水平。</w:t>
      </w:r>
      <w:r>
        <w:rPr>
          <w:rFonts w:ascii="Times New Roman" w:hAnsi="Times New Roman" w:eastAsia="仿宋_GB2312"/>
          <w:sz w:val="32"/>
          <w:szCs w:val="32"/>
        </w:rPr>
        <w:t>推广燃煤、天然气锅炉使用节能高效设备、实施低氮改造，有序推进供热锅炉、重点用能企业等热力回收利用技改，加强节能示范单位、节能示范公共机构创建。加强电力、油气等智能化数字化监管水平，积极推进交通运输、商业餐饮等领域电能替代，加大公共充电</w:t>
      </w:r>
      <w:r>
        <w:rPr>
          <w:rFonts w:hint="eastAsia" w:ascii="Times New Roman" w:hAnsi="Times New Roman" w:eastAsia="仿宋_GB2312"/>
          <w:sz w:val="32"/>
          <w:szCs w:val="32"/>
        </w:rPr>
        <w:t>桩等</w:t>
      </w:r>
      <w:r>
        <w:rPr>
          <w:rFonts w:ascii="Times New Roman" w:hAnsi="Times New Roman" w:eastAsia="仿宋_GB2312"/>
          <w:sz w:val="32"/>
          <w:szCs w:val="32"/>
        </w:rPr>
        <w:t>设施建设，提高已建光伏项目利用，加强用电高峰期错峰管理。</w:t>
      </w:r>
    </w:p>
    <w:p>
      <w:pPr>
        <w:pStyle w:val="3"/>
        <w:jc w:val="center"/>
        <w:rPr>
          <w:rFonts w:ascii="Times New Roman" w:hAnsi="Times New Roman" w:eastAsia="楷体_GB2312"/>
          <w:sz w:val="36"/>
          <w:szCs w:val="36"/>
        </w:rPr>
      </w:pPr>
      <w:bookmarkStart w:id="42" w:name="_Toc2238"/>
      <w:r>
        <w:rPr>
          <w:rFonts w:ascii="Times New Roman" w:hAnsi="Times New Roman" w:eastAsia="楷体_GB2312"/>
          <w:sz w:val="36"/>
          <w:szCs w:val="36"/>
        </w:rPr>
        <w:t>第三节  加强水利基础设施建设</w:t>
      </w:r>
      <w:bookmarkEnd w:id="42"/>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坚持节水优先，以提高供水保障、完善基础设施、系统有效治理为抓手，</w:t>
      </w:r>
      <w:r>
        <w:rPr>
          <w:rFonts w:hint="eastAsia" w:ascii="Times New Roman" w:hAnsi="Times New Roman" w:eastAsia="仿宋_GB2312"/>
          <w:sz w:val="32"/>
          <w:szCs w:val="32"/>
        </w:rPr>
        <w:t>提高</w:t>
      </w:r>
      <w:r>
        <w:rPr>
          <w:rFonts w:ascii="Times New Roman" w:hAnsi="Times New Roman" w:eastAsia="仿宋_GB2312"/>
          <w:sz w:val="32"/>
          <w:szCs w:val="32"/>
        </w:rPr>
        <w:t>水利安全保障能力。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加强供水设施建设。</w:t>
      </w:r>
      <w:r>
        <w:rPr>
          <w:rFonts w:ascii="Times New Roman" w:hAnsi="Times New Roman" w:eastAsia="仿宋_GB2312"/>
          <w:sz w:val="32"/>
          <w:szCs w:val="32"/>
        </w:rPr>
        <w:t>实施</w:t>
      </w:r>
      <w:r>
        <w:rPr>
          <w:rFonts w:hint="eastAsia" w:ascii="Times New Roman" w:hAnsi="Times New Roman" w:eastAsia="仿宋_GB2312"/>
          <w:sz w:val="32"/>
          <w:szCs w:val="32"/>
        </w:rPr>
        <w:t>区</w:t>
      </w:r>
      <w:r>
        <w:rPr>
          <w:rFonts w:ascii="Times New Roman" w:hAnsi="Times New Roman" w:eastAsia="仿宋_GB2312"/>
          <w:sz w:val="32"/>
          <w:szCs w:val="32"/>
        </w:rPr>
        <w:t>一水厂改造二水厂扩建，乡镇千吨万人工程、农村安全饮水工程、供水管网延伸工程，提升城区供水质量，改造小型集中供水工程，推进城乡一体化水务建设。到2025年，农村集中供水率达到98%，农村自来水普及率达到100%，农村水质达标率达到98%，城镇自来水管网覆盖行政村比例达到65%，规模化供水人口比例达到82.2%。</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加快重点水利基础设施建设。</w:t>
      </w:r>
      <w:r>
        <w:rPr>
          <w:rFonts w:ascii="Times New Roman" w:hAnsi="Times New Roman" w:eastAsia="仿宋_GB2312"/>
          <w:sz w:val="32"/>
          <w:szCs w:val="32"/>
        </w:rPr>
        <w:t>结合黄山市城区防洪规划修编，加强开发区城北园区开发片区排水渠等水系贯通建设，完善循环园防洪排水设施，实施城区丰乐河段疏浚清淤，通过水利工程措施治理，确保岩寺城区段达50年一遇以上。以中小河流综合治理和病险水库除险加固为重点，加快灾后防洪薄弱环节建设。实施丰乐河及其支流</w:t>
      </w:r>
      <w:r>
        <w:rPr>
          <w:rFonts w:hint="eastAsia" w:ascii="Times New Roman" w:hAnsi="Times New Roman" w:eastAsia="仿宋_GB2312"/>
          <w:sz w:val="32"/>
          <w:szCs w:val="32"/>
        </w:rPr>
        <w:t>防洪</w:t>
      </w:r>
      <w:r>
        <w:rPr>
          <w:rFonts w:ascii="Times New Roman" w:hAnsi="Times New Roman" w:eastAsia="仿宋_GB2312"/>
          <w:sz w:val="32"/>
          <w:szCs w:val="32"/>
        </w:rPr>
        <w:t>治理</w:t>
      </w:r>
      <w:r>
        <w:rPr>
          <w:rFonts w:hint="eastAsia" w:ascii="Times New Roman" w:hAnsi="Times New Roman" w:eastAsia="仿宋_GB2312"/>
          <w:sz w:val="32"/>
          <w:szCs w:val="32"/>
        </w:rPr>
        <w:t>工程</w:t>
      </w:r>
      <w:r>
        <w:rPr>
          <w:rFonts w:ascii="Times New Roman" w:hAnsi="Times New Roman" w:eastAsia="仿宋_GB2312"/>
          <w:sz w:val="32"/>
          <w:szCs w:val="32"/>
        </w:rPr>
        <w:t>，推进中小型病险水库除险加固工程，</w:t>
      </w:r>
      <w:r>
        <w:rPr>
          <w:rFonts w:hint="eastAsia" w:ascii="Times New Roman" w:hAnsi="Times New Roman" w:eastAsia="仿宋_GB2312"/>
          <w:sz w:val="32"/>
          <w:szCs w:val="32"/>
        </w:rPr>
        <w:t>完成</w:t>
      </w:r>
      <w:r>
        <w:rPr>
          <w:rFonts w:ascii="Times New Roman" w:hAnsi="Times New Roman" w:eastAsia="仿宋_GB2312"/>
          <w:sz w:val="32"/>
          <w:szCs w:val="32"/>
        </w:rPr>
        <w:t>治理水土流失面积50平方公里。</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统筹推进</w:t>
      </w:r>
      <w:r>
        <w:rPr>
          <w:rFonts w:hint="eastAsia" w:ascii="Times New Roman" w:hAnsi="Times New Roman" w:eastAsia="仿宋_GB2312"/>
          <w:b/>
          <w:bCs/>
          <w:sz w:val="32"/>
          <w:szCs w:val="32"/>
        </w:rPr>
        <w:t>用水保障</w:t>
      </w:r>
      <w:r>
        <w:rPr>
          <w:rFonts w:ascii="Times New Roman" w:hAnsi="Times New Roman" w:eastAsia="仿宋_GB2312"/>
          <w:b/>
          <w:bCs/>
          <w:sz w:val="32"/>
          <w:szCs w:val="32"/>
        </w:rPr>
        <w:t>。</w:t>
      </w:r>
      <w:r>
        <w:rPr>
          <w:rFonts w:ascii="Times New Roman" w:hAnsi="Times New Roman" w:eastAsia="仿宋_GB2312"/>
          <w:sz w:val="32"/>
          <w:szCs w:val="32"/>
        </w:rPr>
        <w:t>规划统筹考虑城乡居民、农业生产、重点企业用水需求，加强水源地建设、引调水工程、水系连通工程、提水工程等规划建设，提升现有水利工程供水能力，完善灌溉供水保障工程布局</w:t>
      </w:r>
      <w:r>
        <w:rPr>
          <w:rFonts w:hint="eastAsia" w:ascii="Times New Roman" w:hAnsi="Times New Roman" w:eastAsia="仿宋_GB2312"/>
          <w:sz w:val="32"/>
          <w:szCs w:val="32"/>
        </w:rPr>
        <w:t>和</w:t>
      </w:r>
      <w:r>
        <w:rPr>
          <w:rFonts w:ascii="Times New Roman" w:hAnsi="Times New Roman" w:eastAsia="仿宋_GB2312"/>
          <w:sz w:val="32"/>
          <w:szCs w:val="32"/>
        </w:rPr>
        <w:t>农业用水价格，巩固提升4.876万亩高标准农田灌溉供水能力。加强城市智慧水务建设，深化节水型城市创建，推广使用节水器具，完善用水阶梯水价制度，加强重点用水企业管理，严禁地下水开采。</w:t>
      </w:r>
    </w:p>
    <w:p>
      <w:pPr>
        <w:pStyle w:val="3"/>
        <w:jc w:val="center"/>
        <w:rPr>
          <w:rFonts w:ascii="Times New Roman" w:hAnsi="Times New Roman" w:eastAsia="楷体_GB2312"/>
          <w:sz w:val="36"/>
          <w:szCs w:val="36"/>
        </w:rPr>
      </w:pPr>
      <w:bookmarkStart w:id="43" w:name="_Toc14083"/>
      <w:r>
        <w:rPr>
          <w:rFonts w:ascii="Times New Roman" w:hAnsi="Times New Roman" w:eastAsia="楷体_GB2312"/>
          <w:sz w:val="36"/>
          <w:szCs w:val="36"/>
        </w:rPr>
        <w:t>第四节  推进新型基础设施建设和运用</w:t>
      </w:r>
      <w:bookmarkEnd w:id="43"/>
    </w:p>
    <w:p>
      <w:pPr>
        <w:ind w:firstLine="640" w:firstLineChars="200"/>
        <w:rPr>
          <w:rFonts w:ascii="Times New Roman" w:hAnsi="Times New Roman" w:eastAsia="仿宋_GB2312"/>
          <w:sz w:val="32"/>
          <w:szCs w:val="32"/>
        </w:rPr>
      </w:pPr>
      <w:r>
        <w:rPr>
          <w:rFonts w:ascii="Times New Roman" w:hAnsi="Times New Roman" w:eastAsia="仿宋_GB2312"/>
          <w:sz w:val="32"/>
          <w:szCs w:val="32"/>
        </w:rPr>
        <w:t>统筹现实需求和未来发展，加快建设新型基础设施，优化布局提升功能配置，推进新一代信息技术在各领域的深度应用。</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加快新型基础设施建设。</w:t>
      </w:r>
      <w:r>
        <w:rPr>
          <w:rFonts w:ascii="Times New Roman" w:hAnsi="Times New Roman" w:eastAsia="仿宋_GB2312"/>
          <w:sz w:val="32"/>
          <w:szCs w:val="32"/>
        </w:rPr>
        <w:t>积极推进5G基础设施建设，加快中心城区、重要镇村、景区景点等实现5G网络覆盖进程，力争到2025年实现区域5G网络全覆盖。加大4G网络升级，提升农村地区宽带用户接入速率和普及水平。支持5G建设与大数据、云计算、人工智能、工业互联网、物联网等信息基础设施融合推进，加快云服务构建，做好智慧城市、智慧园区、智慧景区、智慧学校、智慧工厂、智慧医疗、智慧政务、智慧水务等应用创新平台运用管理，为经济社会高质量发展蓄势赋能。</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促进新基建多元化应用。</w:t>
      </w:r>
      <w:r>
        <w:rPr>
          <w:rFonts w:ascii="Times New Roman" w:hAnsi="Times New Roman" w:eastAsia="仿宋_GB2312"/>
          <w:sz w:val="32"/>
          <w:szCs w:val="32"/>
        </w:rPr>
        <w:t>鼓励园区制造业企业利用5G、大数据、工业互联网、边缘计算等新技术推进智能化改造、信息化管理，推动制造业</w:t>
      </w:r>
      <w:r>
        <w:rPr>
          <w:rFonts w:hint="eastAsia" w:ascii="Times New Roman" w:hAnsi="Times New Roman" w:eastAsia="仿宋_GB2312"/>
          <w:sz w:val="32"/>
          <w:szCs w:val="32"/>
        </w:rPr>
        <w:t>两化</w:t>
      </w:r>
      <w:r>
        <w:rPr>
          <w:rFonts w:ascii="Times New Roman" w:hAnsi="Times New Roman" w:eastAsia="仿宋_GB2312"/>
          <w:sz w:val="32"/>
          <w:szCs w:val="32"/>
        </w:rPr>
        <w:t>融合发展，新增一批国家两化融合贯标体系认证企业，建成一批省级以上智能工厂和数字化车间。依托智能网络技术应用和大数据服务，推进基础设施标准化、重点产业信息化、政务服务智慧化、公共服务网络化、要素管理可视化，实现跨区域、跨层级、跨系统、跨部门、跨业务数据联通、深度融合，推动全域数据互通。瞄准数字经济产业，引进实施一批机器人、人工智能等高端装备制造项目</w:t>
      </w:r>
      <w:r>
        <w:rPr>
          <w:rFonts w:hint="eastAsia" w:ascii="Times New Roman" w:hAnsi="Times New Roman" w:eastAsia="仿宋_GB2312"/>
          <w:sz w:val="32"/>
          <w:szCs w:val="32"/>
        </w:rPr>
        <w:t>，大力发展半导体相关电子级精细化工、芯片封装新材料等产业</w:t>
      </w:r>
      <w:r>
        <w:rPr>
          <w:rFonts w:ascii="Times New Roman" w:hAnsi="Times New Roman" w:eastAsia="仿宋_GB2312"/>
          <w:sz w:val="32"/>
          <w:szCs w:val="32"/>
        </w:rPr>
        <w:t>。</w:t>
      </w:r>
    </w:p>
    <w:p>
      <w:pPr>
        <w:pStyle w:val="11"/>
        <w:ind w:firstLine="210"/>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7" w:hRule="atLeast"/>
        </w:trPr>
        <w:tc>
          <w:tcPr>
            <w:tcW w:w="10181" w:type="dxa"/>
          </w:tcPr>
          <w:p>
            <w:pPr>
              <w:pStyle w:val="4"/>
              <w:jc w:val="center"/>
              <w:rPr>
                <w:rFonts w:ascii="Times New Roman" w:hAnsi="Times New Roman"/>
                <w:b/>
                <w:bCs/>
                <w:color w:val="auto"/>
                <w:sz w:val="32"/>
                <w:szCs w:val="32"/>
              </w:rPr>
            </w:pPr>
            <w:bookmarkStart w:id="44" w:name="_Toc10809"/>
            <w:r>
              <w:rPr>
                <w:rFonts w:ascii="Times New Roman" w:hAnsi="Times New Roman"/>
                <w:b/>
                <w:bCs/>
                <w:color w:val="auto"/>
                <w:sz w:val="32"/>
                <w:szCs w:val="32"/>
              </w:rPr>
              <w:t>专栏12  基础设施建设推进工程</w:t>
            </w:r>
            <w:bookmarkEnd w:id="44"/>
          </w:p>
          <w:p>
            <w:pPr>
              <w:spacing w:line="54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城乡基础设施提升。</w:t>
            </w:r>
            <w:r>
              <w:rPr>
                <w:rFonts w:hint="eastAsia" w:ascii="Times New Roman" w:hAnsi="Times New Roman" w:eastAsia="仿宋_GB2312"/>
                <w:sz w:val="28"/>
                <w:szCs w:val="28"/>
              </w:rPr>
              <w:t>黄山</w:t>
            </w:r>
            <w:r>
              <w:rPr>
                <w:rFonts w:ascii="Times New Roman" w:hAnsi="Times New Roman" w:eastAsia="仿宋_GB2312"/>
                <w:sz w:val="28"/>
                <w:szCs w:val="28"/>
              </w:rPr>
              <w:t>旅游轻轨T1线、城北</w:t>
            </w:r>
            <w:r>
              <w:rPr>
                <w:rFonts w:hint="eastAsia" w:ascii="Times New Roman" w:hAnsi="Times New Roman" w:eastAsia="仿宋_GB2312"/>
                <w:sz w:val="28"/>
                <w:szCs w:val="28"/>
              </w:rPr>
              <w:t>新区</w:t>
            </w:r>
            <w:r>
              <w:rPr>
                <w:rFonts w:ascii="Times New Roman" w:hAnsi="Times New Roman" w:eastAsia="仿宋_GB2312"/>
                <w:sz w:val="28"/>
                <w:szCs w:val="28"/>
              </w:rPr>
              <w:t>路网、徽州公交客运枢纽（二期）、城区公交客运配套设施提升、城区市政道路改造提升、城市智慧停车场、周塘至小岩公路、呈坎</w:t>
            </w:r>
            <w:r>
              <w:rPr>
                <w:rFonts w:hint="eastAsia" w:ascii="Times New Roman" w:hAnsi="Times New Roman" w:eastAsia="仿宋_GB2312"/>
                <w:sz w:val="28"/>
                <w:szCs w:val="28"/>
              </w:rPr>
              <w:t>—</w:t>
            </w:r>
            <w:r>
              <w:rPr>
                <w:rFonts w:ascii="Times New Roman" w:hAnsi="Times New Roman" w:eastAsia="仿宋_GB2312"/>
                <w:sz w:val="28"/>
                <w:szCs w:val="28"/>
              </w:rPr>
              <w:t>许村公路、品质示范路创建、农村公路改造提升及养护大中修、农村危桥改造等。</w:t>
            </w:r>
          </w:p>
          <w:p>
            <w:pPr>
              <w:spacing w:line="54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能源和综合应急保障。</w:t>
            </w:r>
            <w:r>
              <w:rPr>
                <w:rFonts w:ascii="Times New Roman" w:hAnsi="Times New Roman" w:eastAsia="仿宋_GB2312"/>
                <w:sz w:val="28"/>
                <w:szCs w:val="28"/>
              </w:rPr>
              <w:t>实施市生活垃圾综合处理厂二期、泰达生产余热资源发电综合利用、徽州区—休宁天然气中压长输管道徽州区段、城区燃气管网工程、港华黄山中压门站、岩寺110KVA变电站改造、西溪南110KVA变电站建设、城乡电网改造、应急指挥中心、应急储备库、省级粮食储备库等项目。</w:t>
            </w:r>
          </w:p>
          <w:p>
            <w:pPr>
              <w:spacing w:line="54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水利基础设施提升。</w:t>
            </w:r>
            <w:r>
              <w:rPr>
                <w:rFonts w:ascii="Times New Roman" w:hAnsi="Times New Roman" w:eastAsia="仿宋_GB2312"/>
                <w:sz w:val="28"/>
                <w:szCs w:val="28"/>
              </w:rPr>
              <w:t>聚焦农村供水保障、丰乐河防洪治理、水库除险加固、水库移民后扶、塘坝修复及新建工程、排水渠改造及新建等领域，补齐水利基础设施短板。</w:t>
            </w:r>
          </w:p>
          <w:p>
            <w:pPr>
              <w:spacing w:line="540" w:lineRule="exact"/>
              <w:ind w:firstLine="562" w:firstLineChars="200"/>
              <w:rPr>
                <w:rFonts w:ascii="Times New Roman" w:hAnsi="Times New Roman"/>
                <w:sz w:val="30"/>
                <w:szCs w:val="30"/>
              </w:rPr>
            </w:pPr>
            <w:r>
              <w:rPr>
                <w:rFonts w:ascii="Times New Roman" w:hAnsi="Times New Roman" w:eastAsia="仿宋_GB2312"/>
                <w:b/>
                <w:bCs/>
                <w:sz w:val="28"/>
                <w:szCs w:val="28"/>
              </w:rPr>
              <w:t>新型基础设施。</w:t>
            </w:r>
            <w:r>
              <w:rPr>
                <w:rFonts w:hint="eastAsia" w:ascii="Times New Roman" w:hAnsi="Times New Roman" w:eastAsia="仿宋_GB2312"/>
                <w:sz w:val="28"/>
                <w:szCs w:val="28"/>
              </w:rPr>
              <w:t>力</w:t>
            </w:r>
            <w:r>
              <w:rPr>
                <w:rFonts w:ascii="Times New Roman" w:hAnsi="Times New Roman" w:eastAsia="仿宋_GB2312"/>
                <w:sz w:val="28"/>
                <w:szCs w:val="28"/>
              </w:rPr>
              <w:t>争到2025年实现区域5G网络全覆盖，做好智慧城市、智慧园区、智慧景区、智慧学校、智慧工厂、智慧医疗、智慧政务、智慧水务等应用创新平台运用。新增一批国家两化融合贯标体系认证企业，建成一批省级以上智能工厂和数字化车间。实现跨区域、跨层级、跨系统、跨部门、跨业务数据联通、深度融合，推动全域数据互通。引进实施一批机器人、人工智能等高端装备制造项目。</w:t>
            </w:r>
          </w:p>
        </w:tc>
      </w:tr>
    </w:tbl>
    <w:p>
      <w:pPr>
        <w:ind w:firstLine="640" w:firstLineChars="200"/>
        <w:rPr>
          <w:rFonts w:ascii="Times New Roman" w:hAnsi="Times New Roman" w:eastAsia="仿宋_GB2312"/>
          <w:sz w:val="32"/>
          <w:szCs w:val="32"/>
        </w:rPr>
      </w:pPr>
    </w:p>
    <w:p>
      <w:pPr>
        <w:ind w:firstLine="640" w:firstLineChars="200"/>
        <w:rPr>
          <w:rFonts w:ascii="Times New Roman" w:hAnsi="Times New Roman" w:eastAsia="仿宋_GB2312"/>
          <w:sz w:val="32"/>
          <w:szCs w:val="32"/>
        </w:rPr>
      </w:pPr>
    </w:p>
    <w:p>
      <w:pPr>
        <w:pStyle w:val="2"/>
        <w:jc w:val="center"/>
        <w:rPr>
          <w:rFonts w:ascii="Times New Roman" w:hAnsi="Times New Roman" w:eastAsia="黑体"/>
          <w:b w:val="0"/>
          <w:bCs/>
          <w:sz w:val="36"/>
          <w:szCs w:val="36"/>
        </w:rPr>
      </w:pPr>
      <w:bookmarkStart w:id="45" w:name="_Toc28923"/>
      <w:r>
        <w:rPr>
          <w:rFonts w:ascii="Times New Roman" w:hAnsi="Times New Roman" w:eastAsia="黑体"/>
          <w:b w:val="0"/>
          <w:bCs/>
          <w:sz w:val="36"/>
          <w:szCs w:val="36"/>
        </w:rPr>
        <w:t>第八章  坚持深化改革开放  不断增强高质</w:t>
      </w:r>
      <w:r>
        <w:rPr>
          <w:rFonts w:hint="eastAsia" w:ascii="Times New Roman" w:hAnsi="Times New Roman" w:eastAsia="黑体"/>
          <w:b w:val="0"/>
          <w:bCs/>
          <w:sz w:val="36"/>
          <w:szCs w:val="36"/>
        </w:rPr>
        <w:t>量</w:t>
      </w:r>
      <w:r>
        <w:rPr>
          <w:rFonts w:ascii="Times New Roman" w:hAnsi="Times New Roman" w:eastAsia="黑体"/>
          <w:b w:val="0"/>
          <w:bCs/>
          <w:sz w:val="36"/>
          <w:szCs w:val="36"/>
        </w:rPr>
        <w:t>发展新动能</w:t>
      </w:r>
      <w:bookmarkEnd w:id="45"/>
    </w:p>
    <w:p>
      <w:pPr>
        <w:ind w:firstLine="640" w:firstLineChars="200"/>
        <w:rPr>
          <w:rFonts w:ascii="Times New Roman" w:hAnsi="Times New Roman" w:eastAsia="仿宋_GB2312"/>
          <w:sz w:val="32"/>
          <w:szCs w:val="32"/>
        </w:rPr>
      </w:pPr>
      <w:r>
        <w:rPr>
          <w:rFonts w:ascii="Times New Roman" w:hAnsi="Times New Roman" w:eastAsia="仿宋_GB2312"/>
          <w:sz w:val="32"/>
          <w:szCs w:val="32"/>
        </w:rPr>
        <w:t>发挥改革的突破和先导作用，充分发挥市场在资源配置中的决定性作用，更好发挥政府作用，纵深推进重点领域和关键环节改革，更宽领域更深层次对外开放，推进有效市场和有为政府更好结合，打造具有重要影响力的改革开放新窗口，为实现高质量可持续发展增添新动力、拓展新空间。</w:t>
      </w:r>
    </w:p>
    <w:p>
      <w:pPr>
        <w:pStyle w:val="3"/>
        <w:jc w:val="center"/>
        <w:rPr>
          <w:rFonts w:ascii="Times New Roman" w:hAnsi="Times New Roman" w:eastAsia="楷体_GB2312"/>
          <w:sz w:val="36"/>
          <w:szCs w:val="36"/>
        </w:rPr>
      </w:pPr>
      <w:bookmarkStart w:id="46" w:name="_Toc11319"/>
      <w:r>
        <w:rPr>
          <w:rFonts w:ascii="Times New Roman" w:hAnsi="Times New Roman" w:eastAsia="楷体_GB2312"/>
          <w:sz w:val="36"/>
          <w:szCs w:val="36"/>
        </w:rPr>
        <w:t>第一节  加快政府职能转变</w:t>
      </w:r>
      <w:bookmarkEnd w:id="46"/>
    </w:p>
    <w:p>
      <w:pPr>
        <w:ind w:firstLine="640" w:firstLineChars="200"/>
        <w:rPr>
          <w:rFonts w:ascii="Times New Roman" w:hAnsi="Times New Roman" w:eastAsia="仿宋_GB2312"/>
          <w:sz w:val="32"/>
          <w:szCs w:val="32"/>
        </w:rPr>
      </w:pPr>
      <w:r>
        <w:rPr>
          <w:rFonts w:ascii="Times New Roman" w:hAnsi="Times New Roman" w:eastAsia="仿宋_GB2312"/>
          <w:sz w:val="32"/>
          <w:szCs w:val="32"/>
        </w:rPr>
        <w:t>深化“放管服”改革，坚持依法行政，规范政府决策行为，推进机关效能建设，创优“四最”营商环境，完善政府治理体系，建设法治政府、廉洁政府。</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完善政府治理体系。</w:t>
      </w:r>
      <w:r>
        <w:rPr>
          <w:rFonts w:ascii="Times New Roman" w:hAnsi="Times New Roman" w:eastAsia="仿宋_GB2312"/>
          <w:sz w:val="32"/>
          <w:szCs w:val="32"/>
        </w:rPr>
        <w:t>把简政放权、放管结合、优化服务改革作为推动政府职能转变的“牛鼻子”，优化政府职责体系，理顺部门职责，创新和完善宏观调控，增强政府经济调</w:t>
      </w:r>
      <w:r>
        <w:rPr>
          <w:rFonts w:hint="eastAsia" w:ascii="Times New Roman" w:hAnsi="Times New Roman" w:eastAsia="仿宋_GB2312"/>
          <w:sz w:val="32"/>
          <w:szCs w:val="32"/>
        </w:rPr>
        <w:t>控</w:t>
      </w:r>
      <w:r>
        <w:rPr>
          <w:rFonts w:ascii="Times New Roman" w:hAnsi="Times New Roman" w:eastAsia="仿宋_GB2312"/>
          <w:sz w:val="32"/>
          <w:szCs w:val="32"/>
        </w:rPr>
        <w:t>、市场监管、社会管理、公共服务、生态环境保护等职能，持续推进机关效能建设，助推治理体系和治理能力适应高质量发展的需求。全面实行政府权责清单和负面清单制度，动态完善涉企收费清单、公共服务清单、中介服务清单。深入推进事业单位改革，深化编制“周转池”制度建设。落实行业协会、商会和中介机构改革，进一步</w:t>
      </w:r>
      <w:r>
        <w:rPr>
          <w:rFonts w:hint="eastAsia" w:ascii="Times New Roman" w:hAnsi="Times New Roman" w:eastAsia="仿宋_GB2312"/>
          <w:sz w:val="32"/>
          <w:szCs w:val="32"/>
        </w:rPr>
        <w:t>厘</w:t>
      </w:r>
      <w:r>
        <w:rPr>
          <w:rFonts w:ascii="Times New Roman" w:hAnsi="Times New Roman" w:eastAsia="仿宋_GB2312"/>
          <w:sz w:val="32"/>
          <w:szCs w:val="32"/>
        </w:rPr>
        <w:t>清政府、市场、社会的关系。完善政府目标管理考核，建立健全高质量发展的指标、政策、标准、统计和绩效评价体系，形成与高质量相符的经济运行调度机制。</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提高行政科学决策。</w:t>
      </w:r>
      <w:r>
        <w:rPr>
          <w:rFonts w:ascii="Times New Roman" w:hAnsi="Times New Roman" w:eastAsia="仿宋_GB2312"/>
          <w:sz w:val="32"/>
          <w:szCs w:val="32"/>
        </w:rPr>
        <w:t>健全重大决策事前评估和事后评价制度，履行公众参与、专家论证、风险评估、合法性审查和集体讨论决定等决策法定程序，从源头上把控政策方向，防止决策的随意性。提高评估评价质量，有针对性地调整完善相关政策，确保其取得预期成效。畅通参与政策制定的渠道，完善常态化政企沟通机制、意见研究采纳反馈机制，切实保障市场主体和群众在政策制定中的知情权、参与权、表达权和监督权，提升政策的针对性和有效性。深化政务公开标准化建设，把政务公开贯穿政务运行全过程，全面推进决策、执行、管理、服务、结果公开，以公开促落实、促规范、促服务。及时有效做好政务舆情回应，确保在应对重大突发事件及社会热点事件时不失声、不缺位。</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打造高品质营商环境。</w:t>
      </w:r>
      <w:r>
        <w:rPr>
          <w:rFonts w:ascii="Times New Roman" w:hAnsi="Times New Roman" w:eastAsia="仿宋_GB2312"/>
          <w:sz w:val="32"/>
          <w:szCs w:val="32"/>
        </w:rPr>
        <w:t>全面贯彻《优化营商环境条例》和安徽省实施办法，对标长三角深化创优营商环境提升行动，打造党建引领、政企相融的产业链、创新链、资金链、人才链“四链合一”优质高效政务服务生态，完善同高质量发展</w:t>
      </w:r>
      <w:r>
        <w:rPr>
          <w:rFonts w:hint="eastAsia" w:ascii="Times New Roman" w:hAnsi="Times New Roman" w:eastAsia="仿宋_GB2312"/>
          <w:sz w:val="32"/>
          <w:szCs w:val="32"/>
        </w:rPr>
        <w:t>、</w:t>
      </w:r>
      <w:r>
        <w:rPr>
          <w:rFonts w:ascii="Times New Roman" w:hAnsi="Times New Roman" w:eastAsia="仿宋_GB2312"/>
          <w:sz w:val="32"/>
          <w:szCs w:val="32"/>
        </w:rPr>
        <w:t>高水平开放相匹配的高品质营商环境。承接落实国家和省市取消下放事项，实行涉企经营许可事项“证照分离”改革，大力推进“照后减证”、审批改备案和告知承诺制、保留事项清单化管理、事中事后监管。树立“为自己人办事就是办自己的事”理念，推进“四送一服”常态化长效化、深化政务服务“一网一门一次”改革和“微改革”工作，完善7×24小时不打烊“随时办”服务机制，推进政务服务标准化、规范化、便利化，努力打造办事效率最高、投资环境最优、企业获得感最强的区县之一。</w:t>
      </w:r>
    </w:p>
    <w:p>
      <w:pPr>
        <w:pStyle w:val="3"/>
        <w:jc w:val="center"/>
        <w:rPr>
          <w:rFonts w:ascii="Times New Roman" w:hAnsi="Times New Roman" w:eastAsia="楷体_GB2312"/>
          <w:sz w:val="36"/>
          <w:szCs w:val="36"/>
        </w:rPr>
      </w:pPr>
      <w:bookmarkStart w:id="47" w:name="_Toc14826"/>
      <w:r>
        <w:rPr>
          <w:rFonts w:ascii="Times New Roman" w:hAnsi="Times New Roman" w:eastAsia="楷体_GB2312"/>
          <w:sz w:val="36"/>
          <w:szCs w:val="36"/>
        </w:rPr>
        <w:t>第二节  激发各类市场主体活力</w:t>
      </w:r>
      <w:bookmarkEnd w:id="47"/>
    </w:p>
    <w:p>
      <w:pPr>
        <w:ind w:firstLine="640" w:firstLineChars="200"/>
        <w:rPr>
          <w:rFonts w:ascii="Times New Roman" w:hAnsi="Times New Roman" w:eastAsia="仿宋_GB2312"/>
          <w:sz w:val="32"/>
          <w:szCs w:val="32"/>
        </w:rPr>
      </w:pPr>
      <w:r>
        <w:rPr>
          <w:rFonts w:ascii="Times New Roman" w:hAnsi="Times New Roman" w:eastAsia="仿宋_GB2312"/>
          <w:sz w:val="32"/>
          <w:szCs w:val="32"/>
        </w:rPr>
        <w:t>深化国资国企改革，优化民营经济发展环境，积极培育更有活力、较强竞争力的市场主体，发挥对经济社会发展的动能转化、力量载体作用。</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深化国资国企改革。</w:t>
      </w:r>
      <w:r>
        <w:rPr>
          <w:rFonts w:ascii="Times New Roman" w:hAnsi="Times New Roman" w:eastAsia="仿宋_GB2312"/>
          <w:sz w:val="32"/>
          <w:szCs w:val="32"/>
        </w:rPr>
        <w:t>落实国企改革三年行动实施方案，鼓励国有企业向基础设施建设、公共服务、优势产业等领域拓展，支持国有企业参与城乡建设、产业发展和特色小镇、旅游等资源性开发运营。健全完善现代企业制度，加快推动国投集团、浪漫红文旅集团精细化管理、规模化扩张、效益化运营。健全管资本为主的国有资产监管体制，稳妥推进国有资本授权经营体制改革，有效发挥国有资本投资、运营公司功能作用。健全法人治理结构、市场化经营机制和国有企业绩效考核体系、薪酬体系，持续激发国有企业活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促进民营经济高质量发展。</w:t>
      </w:r>
      <w:r>
        <w:rPr>
          <w:rFonts w:ascii="Times New Roman" w:hAnsi="Times New Roman" w:eastAsia="仿宋_GB2312"/>
          <w:sz w:val="32"/>
          <w:szCs w:val="32"/>
        </w:rPr>
        <w:t>全面落实支持民营经济发展和“1+N”产业扶持政策，跟进完善促进中小微企业和个体工商户发展的规章政策体系，加大营造重商、亲商、爱商、护商的民营经济发展环境。大力实施促进民营经济高质量发展工程，认真落实战新高新增长、技术改造全覆盖、制造业与互联网融合、专精特新培育、创新创业推进、创新人才引进、民营企业成长、高素质企业家队伍、金融支持民营经济各项工作计划。举办企业家讲堂用身边人讲身边事。支持与全国知名民营企业合作，推动徽商回乡创业。健全“要素跟着项目走”的保障机制，进一步降低民营企业各类非生产性经营成本。依法平等保护民营企业产权和企业家权益，健全完善市场公平竞争性审查制度，破除制约民营经济发展的各种壁垒。</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建设高标准市场体系。</w:t>
      </w:r>
      <w:r>
        <w:rPr>
          <w:rFonts w:ascii="Times New Roman" w:hAnsi="Times New Roman" w:eastAsia="仿宋_GB2312"/>
          <w:sz w:val="32"/>
          <w:szCs w:val="32"/>
        </w:rPr>
        <w:t>深化要素市场化配置改革，深入推进土地、劳动力、资本、技术、数据等要素市场化配置改革。优化土地要素保障机制，用好土地要素保障会商协调推进机制和省政府用地审批权委托下放，积极争取用地指标分配，探索推行长期租赁、先租后让、弹性年期供应等工业用地市场体系和混合产业用地供给方式。健全以“双随机、一公开”监管为基本手段、以重点监管为补充、以信用监管为基础的新型监管机制，对新产业、新业态、新模式实行包容审慎监管。完善统一规范的人力资源市场体系，建立协调衔接的劳动力、人才流动政策体系和交流合作机制。加快发展技术要素市场，深化科技成果使用权、处置权和收益权改革，强化知识产权保护和运用，促进科技成果转化应用。建立数据要素开放共享机制，推进政府部门数据信息整合，加强数据隐私保护和安全审查。完善落实失信约束制度，推进健全社会信用体系建设。</w:t>
      </w:r>
    </w:p>
    <w:p>
      <w:pPr>
        <w:pStyle w:val="3"/>
        <w:jc w:val="center"/>
        <w:rPr>
          <w:rFonts w:ascii="Times New Roman" w:hAnsi="Times New Roman" w:eastAsia="楷体_GB2312"/>
          <w:sz w:val="36"/>
          <w:szCs w:val="36"/>
        </w:rPr>
      </w:pPr>
      <w:bookmarkStart w:id="48" w:name="_Toc18634"/>
      <w:r>
        <w:rPr>
          <w:rFonts w:ascii="Times New Roman" w:hAnsi="Times New Roman" w:eastAsia="楷体_GB2312"/>
          <w:sz w:val="36"/>
          <w:szCs w:val="36"/>
        </w:rPr>
        <w:t>第三节  深化财税金融体制改革</w:t>
      </w:r>
      <w:bookmarkEnd w:id="48"/>
    </w:p>
    <w:p>
      <w:pPr>
        <w:ind w:firstLine="640" w:firstLineChars="200"/>
        <w:rPr>
          <w:rFonts w:ascii="Times New Roman" w:hAnsi="Times New Roman" w:eastAsia="仿宋_GB2312"/>
          <w:sz w:val="32"/>
          <w:szCs w:val="32"/>
        </w:rPr>
      </w:pPr>
      <w:r>
        <w:rPr>
          <w:rFonts w:ascii="Times New Roman" w:hAnsi="Times New Roman" w:eastAsia="仿宋_GB2312"/>
          <w:sz w:val="32"/>
          <w:szCs w:val="32"/>
        </w:rPr>
        <w:t>推进财税管理改革，</w:t>
      </w:r>
      <w:r>
        <w:rPr>
          <w:rFonts w:hint="eastAsia" w:ascii="Times New Roman" w:hAnsi="Times New Roman" w:eastAsia="仿宋_GB2312"/>
          <w:sz w:val="32"/>
          <w:szCs w:val="32"/>
        </w:rPr>
        <w:t>深化</w:t>
      </w:r>
      <w:r>
        <w:rPr>
          <w:rFonts w:ascii="Times New Roman" w:hAnsi="Times New Roman" w:eastAsia="仿宋_GB2312"/>
          <w:sz w:val="32"/>
          <w:szCs w:val="32"/>
        </w:rPr>
        <w:t>金融服务创新，更好发挥现代财税体制的基础性作用，增强金融服务实体经济发展能力，建立完善符合高质量发展、调控保障有</w:t>
      </w:r>
      <w:r>
        <w:rPr>
          <w:rFonts w:hint="eastAsia" w:ascii="Times New Roman" w:hAnsi="Times New Roman" w:eastAsia="仿宋_GB2312"/>
          <w:sz w:val="32"/>
          <w:szCs w:val="32"/>
        </w:rPr>
        <w:t>力</w:t>
      </w:r>
      <w:r>
        <w:rPr>
          <w:rFonts w:ascii="Times New Roman" w:hAnsi="Times New Roman" w:eastAsia="仿宋_GB2312"/>
          <w:sz w:val="32"/>
          <w:szCs w:val="32"/>
        </w:rPr>
        <w:t>的地方财税金融体系。</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深化财税管理改革。</w:t>
      </w:r>
      <w:r>
        <w:rPr>
          <w:rFonts w:ascii="Times New Roman" w:hAnsi="Times New Roman" w:eastAsia="仿宋_GB2312"/>
          <w:sz w:val="32"/>
          <w:szCs w:val="32"/>
        </w:rPr>
        <w:t>推进财政事权与支出责任改革，理顺区财政与乡镇财政关系。深化预算管理制度改革，科学编制预算库，强化预算约束，建立跨年度预算平衡机制，完善年度预算公开机制。规范财政资金管理，全面实施预算绩效评价管理。加大清理盘活财政存量资金、闲置资金力度。增强民生事业、生态环保、基层公共服务等领域保障能力，加强中期财政规划管理，强化多领域专项资金统筹整合，增强区域重大发展任务财力保障。健全政府债务管理制度，规范政府融资，强化限额管理和风险管控，防范化解政府债务风险。</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加强金融服务创新。</w:t>
      </w:r>
      <w:r>
        <w:rPr>
          <w:rFonts w:ascii="Times New Roman" w:hAnsi="Times New Roman" w:eastAsia="仿宋_GB2312"/>
          <w:sz w:val="32"/>
          <w:szCs w:val="32"/>
        </w:rPr>
        <w:t>发展普惠金融，持续开展银企对接，推动金融资源更加有效地投向实体经济，构建更加科学高效的政银企合作机制，完善小额担保贷款、政策性担保</w:t>
      </w:r>
      <w:r>
        <w:rPr>
          <w:rFonts w:hint="eastAsia" w:ascii="Times New Roman" w:hAnsi="Times New Roman" w:eastAsia="仿宋_GB2312"/>
          <w:sz w:val="32"/>
          <w:szCs w:val="32"/>
        </w:rPr>
        <w:t>、</w:t>
      </w:r>
      <w:r>
        <w:rPr>
          <w:rFonts w:ascii="Times New Roman" w:hAnsi="Times New Roman" w:eastAsia="仿宋_GB2312"/>
          <w:sz w:val="32"/>
          <w:szCs w:val="32"/>
        </w:rPr>
        <w:t>应急还贷等融资政策，支持商业银行积极发展多元化信贷产品，确保金融活水精准滴灌实体经济。持续推进企业上市和直接融资，深化</w:t>
      </w:r>
      <w:r>
        <w:rPr>
          <w:rFonts w:hint="eastAsia" w:ascii="Times New Roman" w:hAnsi="Times New Roman" w:eastAsia="仿宋_GB2312"/>
          <w:sz w:val="32"/>
          <w:szCs w:val="32"/>
        </w:rPr>
        <w:t>与</w:t>
      </w:r>
      <w:r>
        <w:rPr>
          <w:rFonts w:ascii="Times New Roman" w:hAnsi="Times New Roman" w:eastAsia="仿宋_GB2312"/>
          <w:sz w:val="32"/>
          <w:szCs w:val="32"/>
        </w:rPr>
        <w:t>华安证券战略合作，形成四板、新三板、创业板、主板“逐级而上”的多层次资本市场“梯队”。加强系统性、区域性金融风险防范，强化互联网金融风险专项整治，严厉打击非法集资等行为，优化金融生态环境。</w:t>
      </w:r>
    </w:p>
    <w:p>
      <w:pPr>
        <w:pStyle w:val="11"/>
        <w:ind w:firstLine="210"/>
        <w:rPr>
          <w:rFonts w:ascii="Times New Roman" w:hAnsi="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9" w:hRule="atLeast"/>
        </w:trPr>
        <w:tc>
          <w:tcPr>
            <w:tcW w:w="10181" w:type="dxa"/>
          </w:tcPr>
          <w:p>
            <w:pPr>
              <w:pStyle w:val="4"/>
              <w:jc w:val="center"/>
              <w:rPr>
                <w:rFonts w:ascii="Times New Roman" w:hAnsi="Times New Roman" w:eastAsia="仿宋_GB2312"/>
                <w:color w:val="auto"/>
                <w:sz w:val="28"/>
                <w:szCs w:val="28"/>
              </w:rPr>
            </w:pPr>
            <w:bookmarkStart w:id="49" w:name="_Toc20913"/>
            <w:r>
              <w:rPr>
                <w:rFonts w:ascii="Times New Roman" w:hAnsi="Times New Roman"/>
                <w:b/>
                <w:bCs/>
                <w:color w:val="auto"/>
                <w:sz w:val="32"/>
                <w:szCs w:val="32"/>
              </w:rPr>
              <w:t>专栏13  重大改革创新提升工程</w:t>
            </w:r>
            <w:bookmarkEnd w:id="49"/>
          </w:p>
          <w:p>
            <w:pPr>
              <w:spacing w:line="54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民营经济提升行动。</w:t>
            </w:r>
            <w:r>
              <w:rPr>
                <w:rFonts w:ascii="Times New Roman" w:hAnsi="Times New Roman" w:eastAsia="仿宋_GB2312"/>
                <w:sz w:val="28"/>
                <w:szCs w:val="28"/>
              </w:rPr>
              <w:t>实施战新产业发展、高新企业培育、推进改造全覆盖、制造业与互联网融合发展、专精特新企业培育、创业创新推进、创新人才引进、民营企业成长、民营企业家培育、金融支持民营经济十大工程。</w:t>
            </w:r>
          </w:p>
          <w:p>
            <w:pPr>
              <w:spacing w:line="54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社会信用体系提升行动。</w:t>
            </w:r>
            <w:r>
              <w:rPr>
                <w:rFonts w:ascii="Times New Roman" w:hAnsi="Times New Roman" w:eastAsia="仿宋_GB2312"/>
                <w:sz w:val="28"/>
                <w:szCs w:val="28"/>
              </w:rPr>
              <w:t>推进信用信息“一口采集、充分共享”，大力开展守信激励，扩大“信易贷”规模和产品，依法依规实施失信惩戒，加强诚信失信突出问题专项整治，完善信用修复机制，开展信用进校园、进企业、进社区、进农村等活动。</w:t>
            </w:r>
          </w:p>
          <w:p>
            <w:pPr>
              <w:spacing w:line="540" w:lineRule="exact"/>
              <w:ind w:firstLine="562" w:firstLineChars="200"/>
              <w:rPr>
                <w:rFonts w:ascii="Times New Roman" w:hAnsi="Times New Roman"/>
                <w:sz w:val="30"/>
                <w:szCs w:val="30"/>
              </w:rPr>
            </w:pPr>
            <w:r>
              <w:rPr>
                <w:rFonts w:ascii="Times New Roman" w:hAnsi="Times New Roman" w:eastAsia="仿宋_GB2312"/>
                <w:b/>
                <w:bCs/>
                <w:sz w:val="28"/>
                <w:szCs w:val="28"/>
              </w:rPr>
              <w:t>创优营商环境提升行动。</w:t>
            </w:r>
            <w:r>
              <w:rPr>
                <w:rFonts w:ascii="Times New Roman" w:hAnsi="Times New Roman" w:eastAsia="仿宋_GB2312"/>
                <w:sz w:val="28"/>
                <w:szCs w:val="28"/>
              </w:rPr>
              <w:t>围绕企业开办、工程建设项目报建、获得电力、不动产登记、纳税服务、跨境贸易、办理破产、获得信贷、保护中小投资者、合同执行、劳动力市场监管、政府采购、政务服务、知识产权保护、企业注销、行政审批制度等重点领</w:t>
            </w:r>
            <w:r>
              <w:rPr>
                <w:rFonts w:hint="eastAsia" w:ascii="Times New Roman" w:hAnsi="Times New Roman" w:eastAsia="仿宋_GB2312"/>
                <w:sz w:val="28"/>
                <w:szCs w:val="28"/>
              </w:rPr>
              <w:t>域</w:t>
            </w:r>
            <w:r>
              <w:rPr>
                <w:rFonts w:ascii="Times New Roman" w:hAnsi="Times New Roman" w:eastAsia="仿宋_GB2312"/>
                <w:sz w:val="28"/>
                <w:szCs w:val="28"/>
              </w:rPr>
              <w:t>，组织开展提升行动。</w:t>
            </w:r>
          </w:p>
        </w:tc>
      </w:tr>
    </w:tbl>
    <w:p>
      <w:pPr>
        <w:pStyle w:val="11"/>
        <w:ind w:firstLine="210"/>
        <w:rPr>
          <w:rFonts w:ascii="Times New Roman" w:hAnsi="Times New Roman"/>
        </w:rPr>
      </w:pPr>
    </w:p>
    <w:p>
      <w:pPr>
        <w:pStyle w:val="2"/>
        <w:jc w:val="center"/>
        <w:rPr>
          <w:rFonts w:ascii="Times New Roman" w:hAnsi="Times New Roman" w:eastAsia="黑体"/>
          <w:b w:val="0"/>
          <w:bCs/>
          <w:sz w:val="36"/>
          <w:szCs w:val="36"/>
        </w:rPr>
      </w:pPr>
      <w:bookmarkStart w:id="50" w:name="_Toc15896"/>
      <w:r>
        <w:rPr>
          <w:rFonts w:ascii="Times New Roman" w:hAnsi="Times New Roman" w:eastAsia="黑体"/>
          <w:b w:val="0"/>
          <w:bCs/>
          <w:sz w:val="36"/>
          <w:szCs w:val="36"/>
        </w:rPr>
        <w:t>第九章  持续扩大对外开放  积极融入长三角一体发展</w:t>
      </w:r>
      <w:bookmarkEnd w:id="50"/>
    </w:p>
    <w:p>
      <w:pPr>
        <w:ind w:firstLine="640" w:firstLineChars="200"/>
        <w:rPr>
          <w:rFonts w:ascii="Times New Roman" w:hAnsi="Times New Roman" w:eastAsia="仿宋_GB2312"/>
          <w:sz w:val="32"/>
          <w:szCs w:val="32"/>
        </w:rPr>
      </w:pPr>
      <w:r>
        <w:rPr>
          <w:rFonts w:ascii="Times New Roman" w:hAnsi="Times New Roman" w:eastAsia="仿宋_GB2312"/>
          <w:sz w:val="32"/>
          <w:szCs w:val="32"/>
        </w:rPr>
        <w:t>深入实施开放活区战略，抢抓长三角一体发展战略机遇，提高对外开放层次和水平，深度参与长三角产业协作、生态共治、民生共享发展，努力在长三角一体化中获取强劲发展动能。</w:t>
      </w:r>
    </w:p>
    <w:p>
      <w:pPr>
        <w:pStyle w:val="3"/>
        <w:jc w:val="center"/>
        <w:rPr>
          <w:rFonts w:ascii="Times New Roman" w:hAnsi="Times New Roman" w:eastAsia="楷体_GB2312"/>
          <w:sz w:val="36"/>
          <w:szCs w:val="36"/>
        </w:rPr>
      </w:pPr>
      <w:bookmarkStart w:id="51" w:name="_Toc11389"/>
      <w:r>
        <w:rPr>
          <w:rFonts w:ascii="Times New Roman" w:hAnsi="Times New Roman" w:eastAsia="楷体_GB2312"/>
          <w:sz w:val="36"/>
          <w:szCs w:val="36"/>
        </w:rPr>
        <w:t>第一节  持续扩大对外开放</w:t>
      </w:r>
      <w:bookmarkEnd w:id="51"/>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全面落实稳投资、稳外贸、稳外资各项政策措施，着力推进产业链精准招商，积极推进更高水平的对外开放，进一步创新外贸方式，</w:t>
      </w:r>
      <w:r>
        <w:rPr>
          <w:rFonts w:hint="eastAsia" w:ascii="Times New Roman" w:hAnsi="Times New Roman" w:eastAsia="仿宋_GB2312"/>
          <w:sz w:val="32"/>
          <w:szCs w:val="32"/>
        </w:rPr>
        <w:t>推动</w:t>
      </w:r>
      <w:r>
        <w:rPr>
          <w:rFonts w:ascii="Times New Roman" w:hAnsi="Times New Roman" w:eastAsia="仿宋_GB2312"/>
          <w:sz w:val="32"/>
          <w:szCs w:val="32"/>
        </w:rPr>
        <w:t>外贸促稳提质，稳住产业链供应链。</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加大精准招商</w:t>
      </w:r>
      <w:r>
        <w:rPr>
          <w:rFonts w:ascii="Times New Roman" w:hAnsi="Times New Roman" w:eastAsia="仿宋_GB2312"/>
          <w:sz w:val="32"/>
          <w:szCs w:val="32"/>
        </w:rPr>
        <w:t>。加强招商引资招才引智推进重点产业高质量发展要求，抢抓大交通改善的历史性机遇，加强与长三角、京津冀、环渤海、珠三角等重点区域的对接与交流，深度参与长三角产业链补链固链强链扩链行动，瞄准主导产业及新兴产业方向，积极承接上海、杭州等产业外溢，围绕新材料、高端装备制造、绿色食品等产业优势和生态、文化、康养等资源优势，推动招大引强、招新引优引链。借力</w:t>
      </w:r>
      <w:r>
        <w:rPr>
          <w:rFonts w:hint="eastAsia" w:ascii="Times New Roman" w:hAnsi="Times New Roman" w:eastAsia="仿宋_GB2312"/>
          <w:sz w:val="32"/>
          <w:szCs w:val="32"/>
        </w:rPr>
        <w:t>进口博览会、广交会、华交会、消博会、</w:t>
      </w:r>
      <w:r>
        <w:rPr>
          <w:rFonts w:ascii="Times New Roman" w:hAnsi="Times New Roman" w:eastAsia="仿宋_GB2312"/>
          <w:sz w:val="32"/>
          <w:szCs w:val="32"/>
        </w:rPr>
        <w:t>国际徽商大会、世界制造业大会、黄山发展大会等平台，持续推进精准招商、产业链招商和以商引商，落实《鼓励外商投资产业目录》和稳外资政策，全面实施外商投资准入前国民待遇加负面清单管理制度，力争在引进国际国内500强和上市公司上取得突破，吸引更多的外资项目落户我区。深化与永佳集团战略合作，持续扩大</w:t>
      </w:r>
      <w:r>
        <w:rPr>
          <w:rFonts w:hint="eastAsia" w:ascii="Times New Roman" w:hAnsi="Times New Roman" w:eastAsia="仿宋_GB2312"/>
          <w:sz w:val="32"/>
          <w:szCs w:val="32"/>
        </w:rPr>
        <w:t>新兴</w:t>
      </w:r>
      <w:r>
        <w:rPr>
          <w:rFonts w:ascii="Times New Roman" w:hAnsi="Times New Roman" w:eastAsia="仿宋_GB2312"/>
          <w:sz w:val="32"/>
          <w:szCs w:val="32"/>
        </w:rPr>
        <w:t>产业项目投资、再投资。探索开发区招商跨区落地收益共享机制。</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多元化发展外贸主体。</w:t>
      </w:r>
      <w:r>
        <w:rPr>
          <w:rFonts w:ascii="Times New Roman" w:hAnsi="Times New Roman" w:eastAsia="仿宋_GB2312"/>
          <w:sz w:val="32"/>
          <w:szCs w:val="32"/>
        </w:rPr>
        <w:t>围绕区内三大主导产业，引导企业通过外贸业务回转、开拓市场等方式，新培育一批潜力型外贸企业，持续优化全区外贸结构。大力宣传“RCEP区域全面经济伙伴关系”政策，抢抓“一带一路”，引导企业用好“最惠国”关税政策，提前布局国际市场。加强出口产品品牌建设，支持企业参与国际产品认证、境外商标注册、境外专利申请和知识产权保护。重点发展外贸新业态，支持跨境电商发展。“十四五”期间，持续巩固跨境电商服务、贸易、货运三大平台，依托天玺保税、跨境电商孵化中心，不断完善区域跨境电商生态链，加速推动全区开放协作产业聚集，促进外贸高质量发展。鼓励企业与阿里巴巴国际站、一达通、亚马逊、易贝网、中国东方机械网等国际电商服务贸易平台的合作，扩大外贸渠道。开通“中欧班列”，大力发展铁路货运和多式联运物流模式。</w:t>
      </w:r>
    </w:p>
    <w:p>
      <w:pPr>
        <w:pStyle w:val="3"/>
        <w:jc w:val="center"/>
        <w:rPr>
          <w:rFonts w:ascii="Times New Roman" w:hAnsi="Times New Roman" w:eastAsia="楷体_GB2312"/>
          <w:sz w:val="36"/>
          <w:szCs w:val="36"/>
        </w:rPr>
      </w:pPr>
      <w:bookmarkStart w:id="52" w:name="_Toc11190"/>
      <w:r>
        <w:rPr>
          <w:rFonts w:ascii="Times New Roman" w:hAnsi="Times New Roman" w:eastAsia="楷体_GB2312"/>
          <w:sz w:val="36"/>
          <w:szCs w:val="36"/>
        </w:rPr>
        <w:t>第二节 构建一体化合作格局</w:t>
      </w:r>
      <w:bookmarkEnd w:id="52"/>
    </w:p>
    <w:p>
      <w:pPr>
        <w:ind w:firstLine="640" w:firstLineChars="200"/>
        <w:rPr>
          <w:rFonts w:ascii="Times New Roman" w:hAnsi="Times New Roman" w:eastAsia="仿宋_GB2312"/>
          <w:sz w:val="32"/>
          <w:szCs w:val="32"/>
        </w:rPr>
      </w:pPr>
      <w:r>
        <w:rPr>
          <w:rFonts w:ascii="Times New Roman" w:hAnsi="Times New Roman" w:eastAsia="仿宋_GB2312"/>
          <w:sz w:val="32"/>
          <w:szCs w:val="32"/>
        </w:rPr>
        <w:t>对标长三角一体发展国家战略，全面融入杭州都市圈，积极拓展与沪苏浙皖等重点地区的战略合作，以一体化的思路和举措协同参与长三角高质量发展。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深入推进“融杭接沪”。</w:t>
      </w:r>
      <w:r>
        <w:rPr>
          <w:rFonts w:ascii="Times New Roman" w:hAnsi="Times New Roman" w:eastAsia="仿宋_GB2312"/>
          <w:sz w:val="32"/>
          <w:szCs w:val="32"/>
        </w:rPr>
        <w:t>巩固深化解放思想大讨论成果，在发展理念、工作机制、政府效能等方面</w:t>
      </w:r>
      <w:r>
        <w:rPr>
          <w:rFonts w:hint="eastAsia" w:ascii="Times New Roman" w:hAnsi="Times New Roman" w:eastAsia="仿宋_GB2312"/>
          <w:sz w:val="32"/>
          <w:szCs w:val="32"/>
        </w:rPr>
        <w:t>积极</w:t>
      </w:r>
      <w:r>
        <w:rPr>
          <w:rFonts w:ascii="Times New Roman" w:hAnsi="Times New Roman" w:eastAsia="仿宋_GB2312"/>
          <w:sz w:val="32"/>
          <w:szCs w:val="32"/>
        </w:rPr>
        <w:t>与长三角等高对接，健全规则相同、标准互认、要素自由流动等政策机制。完善宽领域多层次全方位的工作推进和交流合作机制，促进公共服务区域共享，在交通出行、旅游观光、文化体验、保险就医等方面率先实现“同城待遇”。深化与萧山区“1+2+2”战略合作共建，推进与杭州都市圈重点城市在产业协作、旅游共建、生态共治的深度合作。积极落实上海浦东新区改革事项本地复制推广，借助上海产业外溢，积极推进与上海金山区等合作，推动产业招商、旅游推介、挂职锻炼等合作深化。</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加强长三角重点区域合作。</w:t>
      </w:r>
      <w:r>
        <w:rPr>
          <w:rFonts w:ascii="Times New Roman" w:hAnsi="Times New Roman" w:eastAsia="仿宋_GB2312"/>
          <w:sz w:val="32"/>
          <w:szCs w:val="32"/>
        </w:rPr>
        <w:t>积极落实《长三角地区一体化发展三年行动计划（2021-2023年）》，依托合肥、南京、杭州、上海等创新资源集聚地和高校科研机构、产教融合创新平台，聚焦先进材料、高端装备、集成电路等产业，加大科技研发和联合攻关，组建共建一批研发平台，推进科创人才资源共享、创新成果本地化转移、产业基础中高端化。借助合肥、南京、杭州都市圈和皖南国际文化旅游示范区、闽浙赣皖四省九方经济区、闽浙赣皖福州经济协作区等载体，加强与周边地区全方位合作，积极谋划与江苏产业近似区县战略合作，深化市场体系、文化旅游、社会信用、物流联运、环境治理、公共服务便利等重点领域协同共推。</w:t>
      </w:r>
    </w:p>
    <w:p>
      <w:pPr>
        <w:pStyle w:val="3"/>
        <w:jc w:val="center"/>
        <w:rPr>
          <w:rFonts w:ascii="Times New Roman" w:hAnsi="Times New Roman" w:eastAsia="楷体_GB2312"/>
          <w:sz w:val="36"/>
          <w:szCs w:val="36"/>
        </w:rPr>
      </w:pPr>
      <w:bookmarkStart w:id="53" w:name="_Toc24383"/>
      <w:r>
        <w:rPr>
          <w:rFonts w:ascii="Times New Roman" w:hAnsi="Times New Roman" w:eastAsia="楷体_GB2312"/>
          <w:sz w:val="36"/>
          <w:szCs w:val="36"/>
        </w:rPr>
        <w:t>第三节  高质量深化领域合作</w:t>
      </w:r>
      <w:bookmarkEnd w:id="53"/>
    </w:p>
    <w:p>
      <w:pPr>
        <w:ind w:firstLine="640" w:firstLineChars="200"/>
        <w:rPr>
          <w:rFonts w:ascii="Times New Roman" w:hAnsi="Times New Roman" w:eastAsia="仿宋_GB2312"/>
          <w:sz w:val="32"/>
          <w:szCs w:val="32"/>
        </w:rPr>
      </w:pPr>
      <w:r>
        <w:rPr>
          <w:rFonts w:ascii="Times New Roman" w:hAnsi="Times New Roman" w:eastAsia="仿宋_GB2312"/>
          <w:sz w:val="32"/>
          <w:szCs w:val="32"/>
        </w:rPr>
        <w:t>积极发挥自身比较优势，深化产业市场互补合作，提高生态保护共治，强化民生公共服务共享，促进合作领域深化、水平提升。</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产业协作。</w:t>
      </w:r>
      <w:r>
        <w:rPr>
          <w:rFonts w:ascii="Times New Roman" w:hAnsi="Times New Roman" w:eastAsia="仿宋_GB2312"/>
          <w:sz w:val="32"/>
          <w:szCs w:val="32"/>
        </w:rPr>
        <w:t>加快融入长三角产业链供应链，借助软包装基地、新材料产业和功能性装备，积极参与长三角地区重点企业的生产端、制造端、需求端，提高适配协作开发、产品定制供给水平，导入前沿科研技术、数字化水平。积极参与长三角世界遗产游、名山名城名湖名江名村游、皖浙山水画廊游、红色文化游等精品线路的联合推介，提升休闲度假游、美丽乡村游、研学文化游等品质，积极打造区域文化旅游示范的重要节点。强化长三角绿色农产品生产加工基地建设，大力推进特色产业和产品输出、直销布点，推进绿色食品产供销一体化建设。</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生态共治。</w:t>
      </w:r>
      <w:r>
        <w:rPr>
          <w:rFonts w:ascii="Times New Roman" w:hAnsi="Times New Roman" w:eastAsia="仿宋_GB2312"/>
          <w:sz w:val="32"/>
          <w:szCs w:val="32"/>
        </w:rPr>
        <w:t>深化新安江生态保护联保联控机制，积极参与新安江—千岛湖生态补偿试验区建设，加大出境断面水平和节能节水“双控”管理，严控</w:t>
      </w:r>
      <w:r>
        <w:rPr>
          <w:rFonts w:hint="eastAsia" w:ascii="Times New Roman" w:hAnsi="Times New Roman" w:eastAsia="仿宋_GB2312"/>
          <w:sz w:val="32"/>
          <w:szCs w:val="32"/>
        </w:rPr>
        <w:t>“</w:t>
      </w:r>
      <w:r>
        <w:rPr>
          <w:rFonts w:ascii="Times New Roman" w:hAnsi="Times New Roman" w:eastAsia="仿宋_GB2312"/>
          <w:sz w:val="32"/>
          <w:szCs w:val="32"/>
        </w:rPr>
        <w:t>双高</w:t>
      </w:r>
      <w:r>
        <w:rPr>
          <w:rFonts w:hint="eastAsia" w:ascii="Times New Roman" w:hAnsi="Times New Roman" w:eastAsia="仿宋_GB2312"/>
          <w:sz w:val="32"/>
          <w:szCs w:val="32"/>
        </w:rPr>
        <w:t>”</w:t>
      </w:r>
      <w:r>
        <w:rPr>
          <w:rFonts w:ascii="Times New Roman" w:hAnsi="Times New Roman" w:eastAsia="仿宋_GB2312"/>
          <w:sz w:val="32"/>
          <w:szCs w:val="32"/>
        </w:rPr>
        <w:t>产业项目承接，深入实施长三角秋冬季大气污染联合治理攻坚行动和重污染天气联防联控，严厉打击危险废弃物非法跨界转移、倾倒等违法犯罪活动，合力推进生态环境监测体系建设，共建杭黄绿色产业带。</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民生共享。</w:t>
      </w:r>
      <w:r>
        <w:rPr>
          <w:rFonts w:ascii="Times New Roman" w:hAnsi="Times New Roman" w:eastAsia="仿宋_GB2312"/>
          <w:sz w:val="32"/>
          <w:szCs w:val="32"/>
        </w:rPr>
        <w:t>建立完善常态化推进长三角疫情联防联控工作机制，协同参与长三角公共卫生重大突出事件应急处置。深化数据共享、政务服务事项“一网通办”，完善通检查验、异地办证便民举措，拓展教育共建、医疗共享、养老共推等领域的资源合作，探索以社会保障卡为载体建立居民服务“一卡通”，加快提升一体化民生服务能力。</w:t>
      </w:r>
    </w:p>
    <w:p>
      <w:pPr>
        <w:ind w:firstLine="640" w:firstLineChars="200"/>
        <w:rPr>
          <w:rFonts w:ascii="Times New Roman" w:hAnsi="Times New Roman" w:eastAsia="仿宋_GB2312"/>
          <w:sz w:val="32"/>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81" w:type="dxa"/>
          </w:tcPr>
          <w:p>
            <w:pPr>
              <w:pStyle w:val="4"/>
              <w:jc w:val="center"/>
              <w:rPr>
                <w:rFonts w:ascii="Times New Roman" w:hAnsi="Times New Roman"/>
                <w:b/>
                <w:bCs/>
                <w:color w:val="auto"/>
                <w:sz w:val="32"/>
                <w:szCs w:val="32"/>
              </w:rPr>
            </w:pPr>
            <w:bookmarkStart w:id="54" w:name="_Toc16312"/>
            <w:r>
              <w:rPr>
                <w:rFonts w:ascii="Times New Roman" w:hAnsi="Times New Roman"/>
                <w:b/>
                <w:bCs/>
                <w:color w:val="auto"/>
                <w:sz w:val="32"/>
                <w:szCs w:val="32"/>
              </w:rPr>
              <w:t>专栏14  长三角一体化协同发展工程</w:t>
            </w:r>
            <w:bookmarkEnd w:id="54"/>
          </w:p>
          <w:p>
            <w:pPr>
              <w:spacing w:line="54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深入推进“融杭接沪”。</w:t>
            </w:r>
            <w:r>
              <w:rPr>
                <w:rFonts w:ascii="Times New Roman" w:hAnsi="Times New Roman" w:eastAsia="仿宋_GB2312"/>
                <w:sz w:val="28"/>
                <w:szCs w:val="28"/>
              </w:rPr>
              <w:t>发展理念、工作机制、政府效能等方面与长三角等高对接，健全规则相同、标准互认、要素自由流动等政策机制。深化与萧山区“1+2+2”战略合作共建，推进与杭州都市圈重点城市在产业协作、旅游共建、生态共治的深度合作。积极落实上海浦东新区改革事项本地复制推广，借助上海产业外溢，积极推进与上海金山区等合作，推动产业招商、旅游推介、挂职锻炼等合作深化。</w:t>
            </w:r>
          </w:p>
          <w:p>
            <w:pPr>
              <w:spacing w:line="540" w:lineRule="exact"/>
              <w:ind w:firstLine="562" w:firstLineChars="200"/>
              <w:rPr>
                <w:rFonts w:ascii="Times New Roman" w:hAnsi="Times New Roman"/>
                <w:sz w:val="30"/>
                <w:szCs w:val="30"/>
              </w:rPr>
            </w:pPr>
            <w:r>
              <w:rPr>
                <w:rFonts w:ascii="Times New Roman" w:hAnsi="Times New Roman" w:eastAsia="仿宋_GB2312"/>
                <w:b/>
                <w:bCs/>
                <w:sz w:val="28"/>
                <w:szCs w:val="28"/>
              </w:rPr>
              <w:t>加强长三角重点区域合作。</w:t>
            </w:r>
            <w:r>
              <w:rPr>
                <w:rFonts w:ascii="Times New Roman" w:hAnsi="Times New Roman" w:eastAsia="仿宋_GB2312"/>
                <w:sz w:val="28"/>
                <w:szCs w:val="28"/>
              </w:rPr>
              <w:t>聚焦先进材料、高端装备、集成电路等产业，依托合肥、南京、杭州、上海等创新资源组建研发平台、实现人才资源共享，创新成果本地共享。加强与周边地区全方位合作，积极谋划与江苏产业近似区县战略合作。抓住“融杭接沪”契机，积极参加每年在杭州举办的 “中华老字号精品博览会”、“中国国际电子商务博览会”、“中国国际茶叶博览会”及上海举办的“华东交易博览会”、“上海农产品交易会”等各类展会，加强对外经贸交流。注重加强与杭州米奥兰特、中国贸促会等会展服务单位对接，帮助企业开拓国际市场。</w:t>
            </w:r>
          </w:p>
        </w:tc>
      </w:tr>
    </w:tbl>
    <w:p>
      <w:pPr>
        <w:ind w:firstLine="640" w:firstLineChars="20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2"/>
        <w:jc w:val="center"/>
        <w:rPr>
          <w:rFonts w:ascii="Times New Roman" w:hAnsi="Times New Roman" w:eastAsia="黑体"/>
          <w:b w:val="0"/>
          <w:bCs/>
          <w:sz w:val="36"/>
          <w:szCs w:val="36"/>
        </w:rPr>
      </w:pPr>
      <w:bookmarkStart w:id="55" w:name="_Toc16639"/>
      <w:r>
        <w:rPr>
          <w:rFonts w:ascii="Times New Roman" w:hAnsi="Times New Roman" w:eastAsia="黑体"/>
          <w:b w:val="0"/>
          <w:bCs/>
          <w:sz w:val="36"/>
          <w:szCs w:val="36"/>
        </w:rPr>
        <w:t>第十章  坚持优化空间布局  推进区域协调发展和新型城镇化</w:t>
      </w:r>
      <w:bookmarkEnd w:id="55"/>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坚持保护和开发相统一，坚持城乡融合发展战略，把握新型城镇化建设规律，构建高质量发展的区域空间布局和支撑体系。</w:t>
      </w:r>
    </w:p>
    <w:p>
      <w:pPr>
        <w:pStyle w:val="3"/>
        <w:jc w:val="center"/>
        <w:rPr>
          <w:rFonts w:ascii="Times New Roman" w:hAnsi="Times New Roman" w:eastAsia="楷体_GB2312"/>
          <w:sz w:val="36"/>
          <w:szCs w:val="36"/>
        </w:rPr>
      </w:pPr>
      <w:bookmarkStart w:id="56" w:name="_Toc22850"/>
      <w:r>
        <w:rPr>
          <w:rFonts w:ascii="Times New Roman" w:hAnsi="Times New Roman" w:eastAsia="楷体_GB2312"/>
          <w:sz w:val="36"/>
          <w:szCs w:val="36"/>
        </w:rPr>
        <w:t>第一节  加强国土空间保护开发</w:t>
      </w:r>
      <w:bookmarkEnd w:id="56"/>
    </w:p>
    <w:p>
      <w:pPr>
        <w:ind w:firstLine="640" w:firstLineChars="200"/>
        <w:rPr>
          <w:rFonts w:ascii="Times New Roman" w:hAnsi="Times New Roman" w:eastAsia="仿宋_GB2312"/>
          <w:sz w:val="32"/>
          <w:szCs w:val="32"/>
        </w:rPr>
      </w:pPr>
      <w:r>
        <w:rPr>
          <w:rFonts w:ascii="Times New Roman" w:hAnsi="Times New Roman" w:eastAsia="仿宋_GB2312"/>
          <w:sz w:val="32"/>
          <w:szCs w:val="32"/>
        </w:rPr>
        <w:t>以资源环境承载能力和国土空间开发适宜性为基础，以化解国土空间开发保护突出问题和保障经济社会发展合理需求为出发点，强化主体功能定位，进一步优化国土空间开发保护格局。</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强化主体功能区空间格局。</w:t>
      </w:r>
      <w:r>
        <w:rPr>
          <w:rFonts w:ascii="Times New Roman" w:hAnsi="Times New Roman" w:eastAsia="仿宋_GB2312"/>
          <w:sz w:val="32"/>
          <w:szCs w:val="32"/>
        </w:rPr>
        <w:t>积极落实主体功能区发展战略，围绕构建城镇、农业、生态三大空间格局，大力发展新型城镇化、产城融合发展、产业经济生态化，加强环境资源管控，推进以岩寺为中心、西溪南、潜口重点区域为支撑的城镇化及工业密集发展区</w:t>
      </w:r>
      <w:r>
        <w:rPr>
          <w:rFonts w:hint="eastAsia" w:ascii="Times New Roman" w:hAnsi="Times New Roman" w:eastAsia="仿宋_GB2312"/>
          <w:sz w:val="32"/>
          <w:szCs w:val="32"/>
        </w:rPr>
        <w:t>；</w:t>
      </w:r>
      <w:r>
        <w:rPr>
          <w:rFonts w:ascii="Times New Roman" w:hAnsi="Times New Roman" w:eastAsia="仿宋_GB2312"/>
          <w:sz w:val="32"/>
          <w:szCs w:val="32"/>
        </w:rPr>
        <w:t>积极发展现代特色农业、农产品精深加工，完善农业基础设施，推进西溪南镇、岩寺镇、潜口镇和呈坎镇等适度集聚化的农业发展重点区</w:t>
      </w:r>
      <w:r>
        <w:rPr>
          <w:rFonts w:hint="eastAsia" w:ascii="Times New Roman" w:hAnsi="Times New Roman" w:eastAsia="仿宋_GB2312"/>
          <w:sz w:val="32"/>
          <w:szCs w:val="32"/>
        </w:rPr>
        <w:t>；</w:t>
      </w:r>
      <w:r>
        <w:rPr>
          <w:rFonts w:ascii="Times New Roman" w:hAnsi="Times New Roman" w:eastAsia="仿宋_GB2312"/>
          <w:sz w:val="32"/>
          <w:szCs w:val="32"/>
        </w:rPr>
        <w:t>加强村庄布局、水土保持、林业有害生物防治、生物多样性保护等生态修复和点状禁止开发区</w:t>
      </w:r>
      <w:r>
        <w:rPr>
          <w:rFonts w:hint="eastAsia" w:ascii="Times New Roman" w:hAnsi="Times New Roman" w:eastAsia="仿宋_GB2312"/>
          <w:sz w:val="32"/>
          <w:szCs w:val="32"/>
        </w:rPr>
        <w:t>域</w:t>
      </w:r>
      <w:r>
        <w:rPr>
          <w:rFonts w:ascii="Times New Roman" w:hAnsi="Times New Roman" w:eastAsia="仿宋_GB2312"/>
          <w:sz w:val="32"/>
          <w:szCs w:val="32"/>
        </w:rPr>
        <w:t>管控，严控各类开发区</w:t>
      </w:r>
      <w:r>
        <w:rPr>
          <w:rFonts w:hint="eastAsia" w:ascii="Times New Roman" w:hAnsi="Times New Roman" w:eastAsia="仿宋_GB2312"/>
          <w:sz w:val="32"/>
          <w:szCs w:val="32"/>
        </w:rPr>
        <w:t>域</w:t>
      </w:r>
      <w:r>
        <w:rPr>
          <w:rFonts w:ascii="Times New Roman" w:hAnsi="Times New Roman" w:eastAsia="仿宋_GB2312"/>
          <w:sz w:val="32"/>
          <w:szCs w:val="32"/>
        </w:rPr>
        <w:t>及强度，维护好以高森林覆盖率的生态保护区域。</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优化国土空间布局。</w:t>
      </w:r>
      <w:r>
        <w:rPr>
          <w:rFonts w:ascii="Times New Roman" w:hAnsi="Times New Roman" w:eastAsia="仿宋_GB2312"/>
          <w:sz w:val="32"/>
          <w:szCs w:val="32"/>
        </w:rPr>
        <w:t>编制实施“多规合一”的区乡镇国土空间规划和专项规划，健全完善统一的国土空间基础信息平台，构建区域国土空间开发保护“一张图”。严格执行生态保护红线、永久基本农田、城镇开发边界三条控制线，优化重大基础设施、重大生产力和公共资源布局，</w:t>
      </w:r>
      <w:r>
        <w:rPr>
          <w:rFonts w:hint="eastAsia" w:ascii="Times New Roman" w:hAnsi="Times New Roman" w:eastAsia="仿宋_GB2312"/>
          <w:sz w:val="32"/>
          <w:szCs w:val="32"/>
        </w:rPr>
        <w:t>积极推进岩寺</w:t>
      </w:r>
      <w:r>
        <w:rPr>
          <w:rFonts w:ascii="Times New Roman" w:hAnsi="Times New Roman" w:eastAsia="仿宋_GB2312"/>
          <w:sz w:val="32"/>
          <w:szCs w:val="32"/>
        </w:rPr>
        <w:t>中心城区与西溪南</w:t>
      </w:r>
      <w:r>
        <w:rPr>
          <w:rFonts w:hint="eastAsia" w:ascii="Times New Roman" w:hAnsi="Times New Roman" w:eastAsia="仿宋_GB2312"/>
          <w:sz w:val="32"/>
          <w:szCs w:val="32"/>
        </w:rPr>
        <w:t>镇</w:t>
      </w:r>
      <w:r>
        <w:rPr>
          <w:rFonts w:ascii="Times New Roman" w:hAnsi="Times New Roman" w:eastAsia="仿宋_GB2312"/>
          <w:sz w:val="32"/>
          <w:szCs w:val="32"/>
        </w:rPr>
        <w:t>、潜口</w:t>
      </w:r>
      <w:r>
        <w:rPr>
          <w:rFonts w:hint="eastAsia" w:ascii="Times New Roman" w:hAnsi="Times New Roman" w:eastAsia="仿宋_GB2312"/>
          <w:sz w:val="32"/>
          <w:szCs w:val="32"/>
        </w:rPr>
        <w:t>镇</w:t>
      </w:r>
      <w:r>
        <w:rPr>
          <w:rFonts w:ascii="Times New Roman" w:hAnsi="Times New Roman" w:eastAsia="仿宋_GB2312"/>
          <w:sz w:val="32"/>
          <w:szCs w:val="32"/>
        </w:rPr>
        <w:t>的国土空间</w:t>
      </w:r>
      <w:r>
        <w:rPr>
          <w:rFonts w:hint="eastAsia" w:ascii="Times New Roman" w:hAnsi="Times New Roman" w:eastAsia="仿宋_GB2312"/>
          <w:sz w:val="32"/>
          <w:szCs w:val="32"/>
        </w:rPr>
        <w:t>“一体化”</w:t>
      </w:r>
      <w:r>
        <w:rPr>
          <w:rFonts w:ascii="Times New Roman" w:hAnsi="Times New Roman" w:eastAsia="仿宋_GB2312"/>
          <w:sz w:val="32"/>
          <w:szCs w:val="32"/>
        </w:rPr>
        <w:t>规划，按年度编制实施征收成片开发方案，有序推进城区、开发区等重点区域和岩寺、西溪南、潜口、呈坎等重点镇开发建设，科学预留国省道两侧、开发区扩园和重点节点区域等国土后续发展空间，确保国土空间有序开发、合理利用、有效保护，加强规划体系建设和监督实施，强化用途统筹协调管控，推进生产空间集约高效、生活空间宜居适度、生态空间山清水秀。</w:t>
      </w:r>
    </w:p>
    <w:p>
      <w:pPr>
        <w:pStyle w:val="3"/>
        <w:jc w:val="center"/>
        <w:rPr>
          <w:rFonts w:ascii="Times New Roman" w:hAnsi="Times New Roman" w:eastAsia="楷体_GB2312"/>
          <w:sz w:val="36"/>
          <w:szCs w:val="36"/>
        </w:rPr>
      </w:pPr>
      <w:bookmarkStart w:id="57" w:name="_Toc28583"/>
      <w:r>
        <w:rPr>
          <w:rFonts w:ascii="Times New Roman" w:hAnsi="Times New Roman" w:eastAsia="楷体_GB2312"/>
          <w:sz w:val="36"/>
          <w:szCs w:val="36"/>
        </w:rPr>
        <w:t>第二节  促进城乡协调发展</w:t>
      </w:r>
      <w:bookmarkEnd w:id="57"/>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实施区域协调、城乡协调发展战略，加大城市扩容提升，推进城镇反哺农村，持续</w:t>
      </w:r>
      <w:r>
        <w:rPr>
          <w:rFonts w:hint="eastAsia" w:ascii="Times New Roman" w:hAnsi="Times New Roman" w:eastAsia="仿宋_GB2312"/>
          <w:sz w:val="32"/>
          <w:szCs w:val="32"/>
        </w:rPr>
        <w:t>推进</w:t>
      </w:r>
      <w:r>
        <w:rPr>
          <w:rFonts w:ascii="Times New Roman" w:hAnsi="Times New Roman" w:eastAsia="仿宋_GB2312"/>
          <w:sz w:val="32"/>
          <w:szCs w:val="32"/>
        </w:rPr>
        <w:t>特色小镇建设，促进城乡互动、共同发展。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加强城乡融合发展。</w:t>
      </w:r>
      <w:r>
        <w:rPr>
          <w:rFonts w:ascii="Times New Roman" w:hAnsi="Times New Roman" w:eastAsia="仿宋_GB2312"/>
          <w:sz w:val="32"/>
          <w:szCs w:val="32"/>
        </w:rPr>
        <w:t>把握屯徽休歙同城化部署，推进中心城区岩寺组团“东进、西伸、北拓”扩容升级，加密衔接公共服务和基础设施建设，实现互联互通、共建共享，加大产业集聚和城市功能布局，全面增强产业吸纳力和城市承载力，加快建设创新集聚、产业强劲、美丽现代的高品质城市新区。因地制宜推进城乡“双基”建设和产业发展，实现城有城品味、镇有镇特色、村村有景致。推进城市基础设施、公共服务设施向乡镇村延伸，增强辐射和带动作用，有序推进岩寺、西溪南、潜口等经济发展重点镇行政体系改革，促进城乡良性互动、共同发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增强乡镇发展特色。</w:t>
      </w:r>
      <w:r>
        <w:rPr>
          <w:rFonts w:ascii="Times New Roman" w:hAnsi="Times New Roman" w:eastAsia="仿宋_GB2312"/>
          <w:sz w:val="32"/>
          <w:szCs w:val="32"/>
        </w:rPr>
        <w:t>立足资源禀赋和产业基础，加快功能集聚，打造特色品牌，促进乡村旅游，形成特色鲜明、充满活力的小城镇。岩寺镇加速推进与中心城区的“产城一体”融合，力争跻身中部百强乡镇；西溪南镇积极对接黄山高铁开发建设，加快建成以生态文化旅游和创意为特色的黄山市重要城镇；潜口镇突出“健康养生”定位加速集聚发展，积极打造黄山市重要康养集聚示范镇；呈坎镇深入挖掘历史文化底蕴，提升安徽文化旅游特色镇创建水平；以徽州旅游风景道为纽带、各具特色的美丽乡村为支撑和黄山毛峰、香榧、丰乐水库等资源，推进洽舍乡、杨村乡、富溪乡大力发展乡村旅游和特色产业。</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加快特色小镇建设。</w:t>
      </w:r>
      <w:r>
        <w:rPr>
          <w:rFonts w:ascii="Times New Roman" w:hAnsi="Times New Roman" w:eastAsia="仿宋_GB2312"/>
          <w:sz w:val="32"/>
          <w:szCs w:val="32"/>
        </w:rPr>
        <w:t>深入实施特色小镇培育建设工程，坚持业态打造、风貌整治、人文传统、社区建设、生态功能同步推进，巩固提升西溪南创意小镇、潜口养生小镇、呈坎研学小镇建设，高品质推进富溪云上茶乡小镇创建，强化小镇特色产业导入，集聚新产业、新业态发展要素，促进产业生态圈营造，实现特色产业旺起来，特色景观美起来，特色人文活起来。到“十四五”末，打造具有一定影响力的省市级精品特色小镇4个。</w:t>
      </w:r>
    </w:p>
    <w:p>
      <w:pPr>
        <w:pStyle w:val="3"/>
        <w:jc w:val="center"/>
        <w:rPr>
          <w:rFonts w:ascii="Times New Roman" w:hAnsi="Times New Roman" w:eastAsia="楷体_GB2312"/>
          <w:sz w:val="36"/>
          <w:szCs w:val="36"/>
        </w:rPr>
      </w:pPr>
      <w:bookmarkStart w:id="58" w:name="_Toc13470"/>
      <w:r>
        <w:rPr>
          <w:rFonts w:ascii="Times New Roman" w:hAnsi="Times New Roman" w:eastAsia="楷体_GB2312"/>
          <w:sz w:val="36"/>
          <w:szCs w:val="36"/>
        </w:rPr>
        <w:t>第三节  推进以人为核心的新型城镇化</w:t>
      </w:r>
      <w:bookmarkEnd w:id="58"/>
    </w:p>
    <w:p>
      <w:pPr>
        <w:ind w:firstLine="640" w:firstLineChars="200"/>
        <w:rPr>
          <w:rFonts w:ascii="Times New Roman" w:hAnsi="Times New Roman" w:eastAsia="仿宋_GB2312"/>
          <w:sz w:val="32"/>
          <w:szCs w:val="32"/>
        </w:rPr>
      </w:pPr>
      <w:r>
        <w:rPr>
          <w:rFonts w:ascii="Times New Roman" w:hAnsi="Times New Roman" w:eastAsia="仿宋_GB2312"/>
          <w:sz w:val="32"/>
          <w:szCs w:val="32"/>
        </w:rPr>
        <w:t>立足发展基础，顺应发展趋势，破解突出问题，加强城市功能布局，提高城市管理水平，推进农村转移人口市民化，推动以人为核心的新型城镇化高质量发展之路。</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实施城市更新行动</w:t>
      </w:r>
      <w:r>
        <w:rPr>
          <w:rFonts w:ascii="Times New Roman" w:hAnsi="Times New Roman" w:eastAsia="仿宋_GB2312"/>
          <w:sz w:val="32"/>
          <w:szCs w:val="32"/>
        </w:rPr>
        <w:t>。深化“四创一建”和文明城市创建成果，推进城市生态修复、功能完善。统筹历史文化保护和城市风貌塑造，持续实施老旧小区改造、美丽社区建设、城市棚户区改造，加快推进城区雨污分流整治、“三线下地”改造、排水防涝，围绕城市路网、管道燃气、公共停车场、公共服务等一批增功能项目，加快推进老城区公共设施提标扩面、环境卫生设施提级扩能、市政公用设施提档升级。聚焦拓展城市现代功能，高标准规划、高水平推进城北新区开发，有序推进老渔场地块开发，积极争取丰乐大道两侧开发。</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提高城市治理水平。</w:t>
      </w:r>
      <w:r>
        <w:rPr>
          <w:rFonts w:ascii="Times New Roman" w:hAnsi="Times New Roman" w:eastAsia="仿宋_GB2312"/>
          <w:sz w:val="32"/>
          <w:szCs w:val="32"/>
        </w:rPr>
        <w:t>加强城市治理体系和治理能力建设，提高城市风险防控能力，完善公共安全应急管理、救援物资应急储备、公共卫生应急保障、灾后应急恢复等防灾减灾基础设施，显著提高城市韧性。坚持房子是用来住的、不是用来炒的定位，加强房地产市场调控，提高保障性住房供应和管理水平，加快完善多主体供给、多渠道保障、租购并举的住房制度。全面推进小区物业化管理和垃圾分类管理，探索社区数字化管理、群众参与等新模式。推进城市管理网格化、精细化，加大数字化运用，推进智慧交通、水务、城管、医疗、警务、政务等应用共享，提升智慧城市创建水平。</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加快农业转移人口市民化。</w:t>
      </w:r>
      <w:r>
        <w:rPr>
          <w:rFonts w:ascii="Times New Roman" w:hAnsi="Times New Roman" w:eastAsia="仿宋_GB2312"/>
          <w:sz w:val="32"/>
          <w:szCs w:val="32"/>
        </w:rPr>
        <w:t>深化户籍制度改革，全面放开农村人口、外来就业人口城市落户限制。完善基本公共服务保障，提高农村转移人口租赁住房、随迁子女义务教育保障水平，聚焦主导产业、家政服务等用工矛盾突出点，加大职业技能培训，提高农民工就业稳定性。健全农业转移人口市民化机制，完善财政转移支付与农业转移人口市民化挂钩政策，促进新增建设用地与吸纳农业转移人口落户数量挂钩。依法保障进城落户农民农村土地承包权、宅基地使用权、集体收益分配权，畅通“三权”自愿有偿市场化退出渠道。</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7" w:hRule="atLeast"/>
        </w:trPr>
        <w:tc>
          <w:tcPr>
            <w:tcW w:w="9060" w:type="dxa"/>
          </w:tcPr>
          <w:p>
            <w:pPr>
              <w:pStyle w:val="4"/>
              <w:jc w:val="center"/>
              <w:rPr>
                <w:rFonts w:ascii="Times New Roman" w:hAnsi="Times New Roman"/>
                <w:b/>
                <w:bCs/>
                <w:color w:val="auto"/>
                <w:sz w:val="32"/>
                <w:szCs w:val="32"/>
              </w:rPr>
            </w:pPr>
            <w:bookmarkStart w:id="59" w:name="_Toc7221"/>
            <w:r>
              <w:rPr>
                <w:rFonts w:ascii="Times New Roman" w:hAnsi="Times New Roman"/>
                <w:b/>
                <w:bCs/>
                <w:color w:val="auto"/>
                <w:sz w:val="32"/>
                <w:szCs w:val="32"/>
              </w:rPr>
              <w:t>专栏15  区域协调发展和新型城镇化建设工程</w:t>
            </w:r>
            <w:bookmarkEnd w:id="59"/>
          </w:p>
          <w:p>
            <w:pPr>
              <w:spacing w:line="54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城市扩容发展</w:t>
            </w:r>
            <w:r>
              <w:rPr>
                <w:rFonts w:ascii="Times New Roman" w:hAnsi="Times New Roman" w:eastAsia="仿宋_GB2312"/>
                <w:sz w:val="28"/>
                <w:szCs w:val="28"/>
              </w:rPr>
              <w:t>。有序推进城东工业园片区、棚改片区、潜口水界山片区、滨河北路片区和开发区扩园以及岩寺镇、西溪南镇、潜口镇、呈坎镇等重点区域开发建设。加快推进黄山纳尼亚小镇、黄山龙骏家园、绿地半山名邸、君岳徽州印象北苑、徽州小镇、富源兰庭、徽州新城等项目。完善城市基础设施，实施丰乐河三期综合整治、棚户区改造、老旧小区及周边配套设施改造提升项目、市自来水五厂、二水厂扩建工程、旅游轻轨T1线徽州区站点站前广场、西溪南110KVA变电站、岩寺110KVA变电站改造项目、城区燃气管网建设、开发区园区道路、城北徽州新城路网、文峰路、南山路、环城西路综合改造工程，徽州城区入河排放口及雨污分流整治、城区绿化亮化提升等项目，谋划实施徽州区第二污水处理厂。</w:t>
            </w:r>
          </w:p>
          <w:p>
            <w:pPr>
              <w:spacing w:line="54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乡镇特色化发展。</w:t>
            </w:r>
            <w:r>
              <w:rPr>
                <w:rFonts w:ascii="Times New Roman" w:hAnsi="Times New Roman" w:eastAsia="仿宋_GB2312"/>
                <w:sz w:val="28"/>
                <w:szCs w:val="28"/>
              </w:rPr>
              <w:t>岩寺镇加速推进与中心城区的“产城一体”融合，力争跻身中部百强乡镇；西溪南镇积极对接黄山高铁开发建设，加快建成以生态文化旅游和创意为特色的黄山市重要城镇；潜口镇突出“健康养生”定位加速集聚发展，积极打造黄山市重要康养集聚示范镇；呈坎镇深入挖掘历史文化底蕴，提升安徽文化旅游特色镇创建水平；以徽州旅游风景道为纽带、各具特色的美丽乡村为支撑和黄山毛峰、香榧、丰乐水库等资源，推进洽舍乡、杨村乡、富溪乡大力发展乡村旅游和特色产业。</w:t>
            </w:r>
          </w:p>
          <w:p>
            <w:pPr>
              <w:spacing w:line="540" w:lineRule="exact"/>
              <w:ind w:firstLine="562" w:firstLineChars="200"/>
              <w:rPr>
                <w:rFonts w:ascii="Times New Roman" w:hAnsi="Times New Roman"/>
                <w:sz w:val="32"/>
                <w:szCs w:val="32"/>
              </w:rPr>
            </w:pPr>
            <w:r>
              <w:rPr>
                <w:rFonts w:ascii="Times New Roman" w:hAnsi="Times New Roman" w:eastAsia="仿宋_GB2312"/>
                <w:b/>
                <w:bCs/>
                <w:sz w:val="28"/>
                <w:szCs w:val="28"/>
              </w:rPr>
              <w:t>特色小镇培育发展。</w:t>
            </w:r>
            <w:r>
              <w:rPr>
                <w:rFonts w:ascii="Times New Roman" w:hAnsi="Times New Roman" w:eastAsia="仿宋_GB2312"/>
                <w:sz w:val="28"/>
                <w:szCs w:val="28"/>
              </w:rPr>
              <w:t>加快推进西溪南创意小镇、潜口养生小镇、呈坎研学小镇打造，争创富溪云上茶乡省级特色小镇。</w:t>
            </w:r>
          </w:p>
        </w:tc>
      </w:tr>
    </w:tbl>
    <w:p>
      <w:pPr>
        <w:ind w:firstLine="640" w:firstLineChars="200"/>
        <w:rPr>
          <w:rFonts w:ascii="Times New Roman" w:hAnsi="Times New Roman" w:eastAsia="仿宋_GB2312"/>
          <w:sz w:val="32"/>
          <w:szCs w:val="32"/>
        </w:rPr>
      </w:pPr>
    </w:p>
    <w:p>
      <w:pPr>
        <w:pStyle w:val="2"/>
        <w:jc w:val="center"/>
        <w:rPr>
          <w:rFonts w:ascii="Times New Roman" w:hAnsi="Times New Roman" w:eastAsia="黑体"/>
          <w:b w:val="0"/>
          <w:bCs/>
          <w:sz w:val="36"/>
          <w:szCs w:val="36"/>
        </w:rPr>
      </w:pPr>
      <w:bookmarkStart w:id="60" w:name="_Toc5421"/>
      <w:r>
        <w:rPr>
          <w:rFonts w:ascii="Times New Roman" w:hAnsi="Times New Roman" w:eastAsia="黑体"/>
          <w:b w:val="0"/>
          <w:bCs/>
          <w:sz w:val="36"/>
          <w:szCs w:val="36"/>
        </w:rPr>
        <w:t>第十一章  坚持绿色发展理念  建设人与自然和谐共生美好家园</w:t>
      </w:r>
      <w:bookmarkEnd w:id="60"/>
    </w:p>
    <w:p>
      <w:pPr>
        <w:ind w:firstLine="640" w:firstLineChars="200"/>
        <w:rPr>
          <w:rFonts w:ascii="Times New Roman" w:hAnsi="Times New Roman" w:eastAsia="仿宋_GB2312"/>
          <w:sz w:val="32"/>
          <w:szCs w:val="32"/>
        </w:rPr>
      </w:pPr>
      <w:r>
        <w:rPr>
          <w:rFonts w:ascii="Times New Roman" w:hAnsi="Times New Roman" w:eastAsia="仿宋_GB2312"/>
          <w:sz w:val="32"/>
          <w:szCs w:val="32"/>
        </w:rPr>
        <w:t>践行绿水青山就是金山银山的理念，坚持尊重自然、顺应自然、保护自然，坚持节约优先、自然恢复为主，深入实施可持续发展战略，促进经济社会发展全面绿色转型 ，打造具有重要影响力的绿色发展先行区。</w:t>
      </w:r>
    </w:p>
    <w:p>
      <w:pPr>
        <w:pStyle w:val="3"/>
        <w:jc w:val="center"/>
        <w:rPr>
          <w:rFonts w:ascii="Times New Roman" w:hAnsi="Times New Roman" w:eastAsia="楷体_GB2312"/>
          <w:sz w:val="36"/>
          <w:szCs w:val="36"/>
        </w:rPr>
      </w:pPr>
      <w:bookmarkStart w:id="61" w:name="_Toc24954"/>
      <w:r>
        <w:rPr>
          <w:rFonts w:ascii="Times New Roman" w:hAnsi="Times New Roman" w:eastAsia="楷体_GB2312"/>
          <w:sz w:val="36"/>
          <w:szCs w:val="36"/>
        </w:rPr>
        <w:t>第一节  共推新安江—千岛湖生态补偿试验区建设</w:t>
      </w:r>
      <w:bookmarkEnd w:id="61"/>
    </w:p>
    <w:p>
      <w:pPr>
        <w:ind w:firstLine="640" w:firstLineChars="200"/>
        <w:rPr>
          <w:rFonts w:ascii="Times New Roman" w:hAnsi="Times New Roman" w:eastAsia="仿宋_GB2312"/>
          <w:sz w:val="32"/>
          <w:szCs w:val="32"/>
        </w:rPr>
      </w:pPr>
      <w:r>
        <w:rPr>
          <w:rFonts w:ascii="Times New Roman" w:hAnsi="Times New Roman" w:eastAsia="仿宋_GB2312"/>
          <w:sz w:val="32"/>
          <w:szCs w:val="32"/>
        </w:rPr>
        <w:t>认真落实习近平总书记关于新安江保护重要批示精神，坚持从全局高度加强新安江境内水环境保护，按照一体化共同保护和高质量协同发展的要求，共同推进《新安江</w:t>
      </w:r>
      <w:r>
        <w:rPr>
          <w:rFonts w:hint="eastAsia" w:ascii="Times New Roman" w:hAnsi="Times New Roman" w:eastAsia="仿宋_GB2312"/>
          <w:sz w:val="32"/>
          <w:szCs w:val="32"/>
        </w:rPr>
        <w:t>—</w:t>
      </w:r>
      <w:r>
        <w:rPr>
          <w:rFonts w:ascii="Times New Roman" w:hAnsi="Times New Roman" w:eastAsia="仿宋_GB2312"/>
          <w:sz w:val="32"/>
          <w:szCs w:val="32"/>
        </w:rPr>
        <w:t>千岛湖生态试验区建设方案》落实。</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加强生态环境共治。</w:t>
      </w:r>
      <w:r>
        <w:rPr>
          <w:rFonts w:ascii="Times New Roman" w:hAnsi="Times New Roman" w:eastAsia="仿宋_GB2312"/>
          <w:sz w:val="32"/>
          <w:szCs w:val="32"/>
        </w:rPr>
        <w:t>参与新安江流域水生态环境共保联治规划编制，持续深化新安江流域生态补偿机制改革试点，做好水环境、水资源、水生态三篇文章，推进实施“十大工程”，开展区域大气污染联合联控、固体废弃物联防联治。共同探索建立跨区域的生态治理共同投入和基层共同参与保护机制，推进污水处理、垃圾处理等环境基础设施和公共服务设施上下游共建。加强技术合作，实施氮磷生态拦截工程，推进区域农业面源污染控制，提升畜禽养殖污染治理和废弃物综合利用水平，实施农村环境综合整治，健全化肥农药集中配送体系，推广“生态美”超市、农村污水处理综合利用等有效作法，全面完成中央财政</w:t>
      </w:r>
      <w:r>
        <w:rPr>
          <w:rFonts w:hint="eastAsia" w:ascii="Times New Roman" w:hAnsi="Times New Roman" w:eastAsia="仿宋_GB2312"/>
          <w:sz w:val="32"/>
          <w:szCs w:val="32"/>
        </w:rPr>
        <w:t>环保</w:t>
      </w:r>
      <w:r>
        <w:rPr>
          <w:rFonts w:ascii="Times New Roman" w:hAnsi="Times New Roman" w:eastAsia="仿宋_GB2312"/>
          <w:sz w:val="32"/>
          <w:szCs w:val="32"/>
        </w:rPr>
        <w:t>专项</w:t>
      </w:r>
      <w:r>
        <w:rPr>
          <w:rFonts w:hint="eastAsia" w:ascii="Times New Roman" w:hAnsi="Times New Roman" w:eastAsia="仿宋_GB2312"/>
          <w:sz w:val="32"/>
          <w:szCs w:val="32"/>
        </w:rPr>
        <w:t>资金</w:t>
      </w:r>
      <w:r>
        <w:rPr>
          <w:rFonts w:ascii="Times New Roman" w:hAnsi="Times New Roman" w:eastAsia="仿宋_GB2312"/>
          <w:sz w:val="32"/>
          <w:szCs w:val="32"/>
        </w:rPr>
        <w:t>、新安江生态补偿</w:t>
      </w:r>
      <w:r>
        <w:rPr>
          <w:rFonts w:hint="eastAsia" w:ascii="Times New Roman" w:hAnsi="Times New Roman" w:eastAsia="仿宋_GB2312"/>
          <w:sz w:val="32"/>
          <w:szCs w:val="32"/>
        </w:rPr>
        <w:t>资金</w:t>
      </w:r>
      <w:r>
        <w:rPr>
          <w:rFonts w:ascii="Times New Roman" w:hAnsi="Times New Roman" w:eastAsia="仿宋_GB2312"/>
          <w:sz w:val="32"/>
          <w:szCs w:val="32"/>
        </w:rPr>
        <w:t>和亚行贷款</w:t>
      </w:r>
      <w:r>
        <w:rPr>
          <w:rFonts w:hint="eastAsia" w:ascii="Times New Roman" w:hAnsi="Times New Roman" w:eastAsia="仿宋_GB2312"/>
          <w:sz w:val="32"/>
          <w:szCs w:val="32"/>
        </w:rPr>
        <w:t>资金</w:t>
      </w:r>
      <w:r>
        <w:rPr>
          <w:rFonts w:ascii="Times New Roman" w:hAnsi="Times New Roman" w:eastAsia="仿宋_GB2312"/>
          <w:sz w:val="32"/>
          <w:szCs w:val="32"/>
        </w:rPr>
        <w:t>项目，提高农村生活污水和生活垃圾处理处置水平。实施水生态修复与水土流失治理，建设河口生态和河湖岸线缓冲带，加强湿地、生物多样性保护、落实新安江十年禁渔行动。探索建立跨区域生态环境基础设施和动态管理协调机制，完善区域生态环境信息平台和监测网络体系，创新区域生态环境执法一体化建设。</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助推流域产业共兴。</w:t>
      </w:r>
      <w:r>
        <w:rPr>
          <w:rFonts w:ascii="Times New Roman" w:hAnsi="Times New Roman" w:eastAsia="仿宋_GB2312"/>
          <w:sz w:val="32"/>
          <w:szCs w:val="32"/>
        </w:rPr>
        <w:t>积极推进新一轮新安江流域生态补偿机制改革，推动加快实现由单一财政资金补偿向市场化、多元化、一体化补偿拓展，大力发展与生态环境相适应的产业。聚焦数字经济、绿色食品、智能制造等新兴产业，共推优质产业转型升级，巩固茶叶、蜂蜜、无</w:t>
      </w:r>
      <w:r>
        <w:rPr>
          <w:rFonts w:hint="eastAsia" w:ascii="Times New Roman" w:hAnsi="Times New Roman" w:eastAsia="仿宋_GB2312"/>
          <w:sz w:val="32"/>
          <w:szCs w:val="32"/>
        </w:rPr>
        <w:t>土</w:t>
      </w:r>
      <w:r>
        <w:rPr>
          <w:rFonts w:ascii="Times New Roman" w:hAnsi="Times New Roman" w:eastAsia="仿宋_GB2312"/>
          <w:sz w:val="32"/>
          <w:szCs w:val="32"/>
        </w:rPr>
        <w:t>花卉等精致农业，加强重要生态农产品品牌、基建建设，积极发展休闲、养疗、研学等全域旅游业态。加强工业园区污染集中治理、管控，加大园区化工企业清洁化生产审核、深度废气治理、循环化改造，</w:t>
      </w:r>
      <w:r>
        <w:rPr>
          <w:rFonts w:hint="eastAsia" w:ascii="Times New Roman" w:hAnsi="Times New Roman" w:eastAsia="仿宋_GB2312"/>
          <w:sz w:val="32"/>
          <w:szCs w:val="32"/>
        </w:rPr>
        <w:t>提高</w:t>
      </w:r>
      <w:r>
        <w:rPr>
          <w:rFonts w:ascii="Times New Roman" w:hAnsi="Times New Roman" w:eastAsia="仿宋_GB2312"/>
          <w:sz w:val="32"/>
          <w:szCs w:val="32"/>
        </w:rPr>
        <w:t>园区环</w:t>
      </w:r>
      <w:r>
        <w:rPr>
          <w:rFonts w:hint="eastAsia" w:ascii="Times New Roman" w:hAnsi="Times New Roman" w:eastAsia="仿宋_GB2312"/>
          <w:sz w:val="32"/>
          <w:szCs w:val="32"/>
        </w:rPr>
        <w:t>境</w:t>
      </w:r>
      <w:r>
        <w:rPr>
          <w:rFonts w:ascii="Times New Roman" w:hAnsi="Times New Roman" w:eastAsia="仿宋_GB2312"/>
          <w:sz w:val="32"/>
          <w:szCs w:val="32"/>
        </w:rPr>
        <w:t>保</w:t>
      </w:r>
      <w:r>
        <w:rPr>
          <w:rFonts w:hint="eastAsia" w:ascii="Times New Roman" w:hAnsi="Times New Roman" w:eastAsia="仿宋_GB2312"/>
          <w:sz w:val="32"/>
          <w:szCs w:val="32"/>
        </w:rPr>
        <w:t>护</w:t>
      </w:r>
      <w:r>
        <w:rPr>
          <w:rFonts w:ascii="Times New Roman" w:hAnsi="Times New Roman" w:eastAsia="仿宋_GB2312"/>
          <w:sz w:val="32"/>
          <w:szCs w:val="32"/>
        </w:rPr>
        <w:t>水平。完善落实水环境保护“1225”机制，深化乡镇横向水环境生态补偿机制，推动生态补偿试点向试验区建设升级拓展、向优质产业联合共推。</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促进生态红利共享</w:t>
      </w:r>
      <w:r>
        <w:rPr>
          <w:rFonts w:ascii="Times New Roman" w:hAnsi="Times New Roman" w:eastAsia="仿宋_GB2312"/>
          <w:sz w:val="32"/>
          <w:szCs w:val="32"/>
        </w:rPr>
        <w:t>。建立健全土地、水、矿产、森林等领域自然资源有偿使用制度，形成生态产品产权制度，</w:t>
      </w:r>
      <w:r>
        <w:rPr>
          <w:rFonts w:hint="eastAsia" w:ascii="Times New Roman" w:hAnsi="Times New Roman" w:eastAsia="仿宋_GB2312"/>
          <w:sz w:val="32"/>
          <w:szCs w:val="32"/>
        </w:rPr>
        <w:t>探索</w:t>
      </w:r>
      <w:r>
        <w:rPr>
          <w:rFonts w:ascii="Times New Roman" w:hAnsi="Times New Roman" w:eastAsia="仿宋_GB2312"/>
          <w:sz w:val="32"/>
          <w:szCs w:val="32"/>
        </w:rPr>
        <w:t>建立科学公允的生态产品价值（GEP）核算方法。建立流域生态产品交易市场，深化新安江流域排污权交易，推进水权和林</w:t>
      </w:r>
      <w:r>
        <w:rPr>
          <w:rFonts w:hint="eastAsia" w:ascii="Times New Roman" w:hAnsi="Times New Roman" w:eastAsia="仿宋_GB2312"/>
          <w:sz w:val="32"/>
          <w:szCs w:val="32"/>
        </w:rPr>
        <w:t>木</w:t>
      </w:r>
      <w:r>
        <w:rPr>
          <w:rFonts w:ascii="Times New Roman" w:hAnsi="Times New Roman" w:eastAsia="仿宋_GB2312"/>
          <w:sz w:val="32"/>
          <w:szCs w:val="32"/>
        </w:rPr>
        <w:t>交易平台试点。探索环境空气质量生态补偿机制，完善公益林、耕地生态补偿机制，建立健全湿地、重点生态区域生态补偿机制。以建立常态化补偿机制为目标，通过资金补偿、对口协作、产业转移、人才培训、共建园区等方式建立横向补偿关系。健全生态环境损害赔偿制度，建立体现环境资源生态功能价值的损害赔偿机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10181" w:type="dxa"/>
          </w:tcPr>
          <w:p>
            <w:pPr>
              <w:pStyle w:val="4"/>
              <w:jc w:val="center"/>
              <w:rPr>
                <w:rFonts w:ascii="Times New Roman" w:hAnsi="Times New Roman"/>
                <w:b/>
                <w:bCs/>
                <w:color w:val="auto"/>
                <w:sz w:val="32"/>
                <w:szCs w:val="32"/>
              </w:rPr>
            </w:pPr>
            <w:bookmarkStart w:id="62" w:name="_Toc17321"/>
            <w:r>
              <w:rPr>
                <w:rFonts w:ascii="Times New Roman" w:hAnsi="Times New Roman"/>
                <w:b/>
                <w:bCs/>
                <w:color w:val="auto"/>
                <w:sz w:val="32"/>
                <w:szCs w:val="32"/>
              </w:rPr>
              <w:t>专栏16  新安江流域生态补偿机制建设十大工程</w:t>
            </w:r>
            <w:bookmarkEnd w:id="62"/>
          </w:p>
          <w:p>
            <w:pPr>
              <w:pStyle w:val="11"/>
              <w:snapToGrid w:val="0"/>
              <w:spacing w:after="0" w:line="440" w:lineRule="exact"/>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排污权管理工程。</w:t>
            </w:r>
            <w:r>
              <w:rPr>
                <w:rFonts w:ascii="Times New Roman" w:hAnsi="Times New Roman" w:eastAsia="仿宋_GB2312"/>
                <w:sz w:val="28"/>
                <w:szCs w:val="28"/>
              </w:rPr>
              <w:t>建立初始排污权分配、交易机制，利用好排污权管理及交易平台，提高控污治污能力水平。</w:t>
            </w:r>
          </w:p>
          <w:p>
            <w:pPr>
              <w:pStyle w:val="11"/>
              <w:snapToGrid w:val="0"/>
              <w:spacing w:after="0" w:line="440" w:lineRule="exact"/>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开发区发展工程。</w:t>
            </w:r>
            <w:r>
              <w:rPr>
                <w:rFonts w:ascii="Times New Roman" w:hAnsi="Times New Roman" w:eastAsia="仿宋_GB2312"/>
                <w:sz w:val="28"/>
                <w:szCs w:val="28"/>
              </w:rPr>
              <w:t>实施工业企业特别是化工企业全部进驻园区，全面推进企业废水、水污染纳管总量双控，加快园区污水处理设备、技术升级，建立一般工业固废、危险性固废和生活垃圾分类处置体系，提升园区治污能力。</w:t>
            </w:r>
          </w:p>
          <w:p>
            <w:pPr>
              <w:pStyle w:val="11"/>
              <w:snapToGrid w:val="0"/>
              <w:spacing w:after="0" w:line="440" w:lineRule="exact"/>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城镇污水治理工程</w:t>
            </w:r>
            <w:r>
              <w:rPr>
                <w:rFonts w:ascii="Times New Roman" w:hAnsi="Times New Roman" w:eastAsia="仿宋_GB2312"/>
                <w:sz w:val="28"/>
                <w:szCs w:val="28"/>
              </w:rPr>
              <w:t>。加快完善污水管网体系，实行雨污分流，推进污染防治设施提标改造，确保丰乐河流域内污水全部处理、达标排放。</w:t>
            </w:r>
          </w:p>
          <w:p>
            <w:pPr>
              <w:pStyle w:val="11"/>
              <w:snapToGrid w:val="0"/>
              <w:spacing w:after="0" w:line="440" w:lineRule="exact"/>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化肥农药替代工程。</w:t>
            </w:r>
            <w:r>
              <w:rPr>
                <w:rFonts w:ascii="Times New Roman" w:hAnsi="Times New Roman" w:eastAsia="仿宋_GB2312"/>
                <w:sz w:val="28"/>
                <w:szCs w:val="28"/>
              </w:rPr>
              <w:t>推广使用有机肥，</w:t>
            </w:r>
            <w:r>
              <w:rPr>
                <w:rFonts w:hint="eastAsia" w:ascii="Times New Roman" w:hAnsi="Times New Roman" w:eastAsia="仿宋_GB2312"/>
                <w:sz w:val="28"/>
                <w:szCs w:val="28"/>
              </w:rPr>
              <w:t>逐步</w:t>
            </w:r>
            <w:r>
              <w:rPr>
                <w:rFonts w:ascii="Times New Roman" w:hAnsi="Times New Roman" w:eastAsia="仿宋_GB2312"/>
                <w:sz w:val="28"/>
                <w:szCs w:val="28"/>
              </w:rPr>
              <w:t>完成化肥替代。推广使用生态调控、物理诱控、生物防控等病虫害绿色防控技术和设备，逐步完成农药替代。</w:t>
            </w:r>
          </w:p>
          <w:p>
            <w:pPr>
              <w:pStyle w:val="11"/>
              <w:snapToGrid w:val="0"/>
              <w:spacing w:after="0" w:line="440" w:lineRule="exact"/>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绿色特色农业发展工程。</w:t>
            </w:r>
            <w:r>
              <w:rPr>
                <w:rFonts w:ascii="Times New Roman" w:hAnsi="Times New Roman" w:eastAsia="仿宋_GB2312"/>
                <w:sz w:val="28"/>
                <w:szCs w:val="28"/>
              </w:rPr>
              <w:t>统筹推进种养循环、农林牧渔结合，推广农产品全过程质量控制技术体系试点，实施农产品质量安全追溯工程，大力培育“三品一标”农品，扩大优质绿色重要农产品有效供给。</w:t>
            </w:r>
          </w:p>
          <w:p>
            <w:pPr>
              <w:pStyle w:val="11"/>
              <w:snapToGrid w:val="0"/>
              <w:spacing w:after="0" w:line="440" w:lineRule="exact"/>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农村环境整治工程。</w:t>
            </w:r>
            <w:r>
              <w:rPr>
                <w:rFonts w:ascii="Times New Roman" w:hAnsi="Times New Roman" w:eastAsia="仿宋_GB2312"/>
                <w:sz w:val="28"/>
                <w:szCs w:val="28"/>
              </w:rPr>
              <w:t>扎实开展农村厕所、垃圾、污水“三大革命”，统筹推进生活垃圾和废弃物资源化利用，加强乡村和河道清洁工作，推动城镇污水处理设施向农村覆盖延伸。</w:t>
            </w:r>
          </w:p>
          <w:p>
            <w:pPr>
              <w:pStyle w:val="11"/>
              <w:snapToGrid w:val="0"/>
              <w:spacing w:after="0" w:line="440" w:lineRule="exact"/>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畜禽规模养殖提升工程。</w:t>
            </w:r>
            <w:r>
              <w:rPr>
                <w:rFonts w:ascii="Times New Roman" w:hAnsi="Times New Roman" w:eastAsia="仿宋_GB2312"/>
                <w:sz w:val="28"/>
                <w:szCs w:val="28"/>
              </w:rPr>
              <w:t>科学布局畜禽养殖区域，推行养殖业“规模养殖、集中屠宰、冷链运输、冰鲜上市”新模式，推广养殖废弃物综合防治和资源化利用的有效模式，发展循环农业。</w:t>
            </w:r>
          </w:p>
          <w:p>
            <w:pPr>
              <w:pStyle w:val="11"/>
              <w:snapToGrid w:val="0"/>
              <w:spacing w:after="0" w:line="440" w:lineRule="exact"/>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船舶污水上岸工程。</w:t>
            </w:r>
            <w:r>
              <w:rPr>
                <w:rFonts w:ascii="Times New Roman" w:hAnsi="Times New Roman" w:eastAsia="仿宋_GB2312"/>
                <w:sz w:val="28"/>
                <w:szCs w:val="28"/>
              </w:rPr>
              <w:t>加强丰乐水库农户自备船污染物处置管理，实施丰乐河流域船舶污水污物“零排放”。</w:t>
            </w:r>
          </w:p>
          <w:p>
            <w:pPr>
              <w:pStyle w:val="11"/>
              <w:snapToGrid w:val="0"/>
              <w:spacing w:after="0" w:line="440" w:lineRule="exact"/>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河（湖）长制、林长制提升工程。</w:t>
            </w:r>
            <w:r>
              <w:rPr>
                <w:rFonts w:ascii="Times New Roman" w:hAnsi="Times New Roman" w:eastAsia="仿宋_GB2312"/>
                <w:sz w:val="28"/>
                <w:szCs w:val="28"/>
              </w:rPr>
              <w:t>推深做实河（湖）长制、林长制，完善污染防控指挥、信息归集和处置体系，努力实现流域河畅、水清、岸绿、景美。</w:t>
            </w:r>
          </w:p>
          <w:p>
            <w:pPr>
              <w:pStyle w:val="11"/>
              <w:snapToGrid w:val="0"/>
              <w:spacing w:after="0" w:line="440" w:lineRule="exact"/>
              <w:ind w:firstLine="562" w:firstLineChars="200"/>
              <w:jc w:val="left"/>
              <w:rPr>
                <w:rFonts w:ascii="Times New Roman" w:hAnsi="Times New Roman"/>
                <w:sz w:val="32"/>
                <w:szCs w:val="32"/>
              </w:rPr>
            </w:pPr>
            <w:r>
              <w:rPr>
                <w:rFonts w:ascii="Times New Roman" w:hAnsi="Times New Roman" w:eastAsia="仿宋_GB2312"/>
                <w:b/>
                <w:bCs/>
                <w:sz w:val="28"/>
                <w:szCs w:val="28"/>
              </w:rPr>
              <w:t>全民参与工程。</w:t>
            </w:r>
            <w:r>
              <w:rPr>
                <w:rFonts w:ascii="Times New Roman" w:hAnsi="Times New Roman" w:eastAsia="仿宋_GB2312"/>
                <w:sz w:val="28"/>
                <w:szCs w:val="28"/>
              </w:rPr>
              <w:t>大力推广“生态美”超市、“生态红包”等创</w:t>
            </w:r>
            <w:r>
              <w:rPr>
                <w:rFonts w:hint="eastAsia" w:ascii="Times New Roman" w:hAnsi="Times New Roman" w:eastAsia="仿宋_GB2312"/>
                <w:sz w:val="28"/>
                <w:szCs w:val="28"/>
              </w:rPr>
              <w:t>新</w:t>
            </w:r>
            <w:r>
              <w:rPr>
                <w:rFonts w:ascii="Times New Roman" w:hAnsi="Times New Roman" w:eastAsia="仿宋_GB2312"/>
                <w:sz w:val="28"/>
                <w:szCs w:val="28"/>
              </w:rPr>
              <w:t>举措，形成“政府引导、市场补充、公众参与、生态共享”的全民保护新机制。</w:t>
            </w:r>
          </w:p>
        </w:tc>
      </w:tr>
    </w:tbl>
    <w:p>
      <w:pPr>
        <w:pStyle w:val="3"/>
        <w:jc w:val="center"/>
        <w:rPr>
          <w:rFonts w:ascii="Times New Roman" w:hAnsi="Times New Roman" w:eastAsia="楷体_GB2312"/>
          <w:sz w:val="36"/>
          <w:szCs w:val="36"/>
        </w:rPr>
      </w:pPr>
      <w:bookmarkStart w:id="63" w:name="_Toc16843"/>
      <w:r>
        <w:rPr>
          <w:rFonts w:ascii="Times New Roman" w:hAnsi="Times New Roman" w:eastAsia="楷体_GB2312"/>
          <w:sz w:val="36"/>
          <w:szCs w:val="36"/>
        </w:rPr>
        <w:t>第二节  持续改善生态环境质量</w:t>
      </w:r>
      <w:bookmarkEnd w:id="63"/>
    </w:p>
    <w:p>
      <w:pPr>
        <w:ind w:firstLine="640" w:firstLineChars="200"/>
        <w:rPr>
          <w:rFonts w:ascii="Times New Roman" w:hAnsi="Times New Roman" w:eastAsia="仿宋_GB2312"/>
          <w:sz w:val="32"/>
          <w:szCs w:val="32"/>
        </w:rPr>
      </w:pPr>
      <w:r>
        <w:rPr>
          <w:rFonts w:ascii="Times New Roman" w:hAnsi="Times New Roman" w:eastAsia="仿宋_GB2312"/>
          <w:sz w:val="32"/>
          <w:szCs w:val="32"/>
        </w:rPr>
        <w:t>以共创国家生态文明建设示范市为目标，深入开展大气污染防治，持续做好水生态环境治理，加快推进土壤和地下水污染防治，巩固提升污染防治攻坚成果，及时完成中央省生态环境保护督察反馈问题整改，纵深推进“四大一常”行动常态化制度化，将“新安江模式”推广到全流域和森林、湿地、耕地、空气等生态领域，持续改善生态环境。</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深入开展大气污染防治。</w:t>
      </w:r>
      <w:r>
        <w:rPr>
          <w:rFonts w:ascii="Times New Roman" w:hAnsi="Times New Roman" w:eastAsia="仿宋_GB2312"/>
          <w:sz w:val="32"/>
          <w:szCs w:val="32"/>
        </w:rPr>
        <w:t>落实大气“30”条、强化“五控”管理，确保区域空气质量稳定。加强重点区域、重点时段、重点行业VOC</w:t>
      </w:r>
      <w:r>
        <w:rPr>
          <w:rFonts w:ascii="Times New Roman" w:hAnsi="Times New Roman" w:eastAsia="仿宋_GB2312"/>
          <w:sz w:val="32"/>
          <w:szCs w:val="32"/>
          <w:vertAlign w:val="subscript"/>
        </w:rPr>
        <w:t>S</w:t>
      </w:r>
      <w:r>
        <w:rPr>
          <w:rFonts w:ascii="Times New Roman" w:hAnsi="Times New Roman" w:eastAsia="仿宋_GB2312"/>
          <w:sz w:val="32"/>
          <w:szCs w:val="32"/>
        </w:rPr>
        <w:t>治理，开展新一轮园区重点企业挥发性有机废气深度治理，完善大气精细化监测平台。实施新增VOC</w:t>
      </w:r>
      <w:r>
        <w:rPr>
          <w:rFonts w:ascii="Times New Roman" w:hAnsi="Times New Roman" w:eastAsia="仿宋_GB2312"/>
          <w:sz w:val="32"/>
          <w:szCs w:val="32"/>
          <w:vertAlign w:val="subscript"/>
        </w:rPr>
        <w:t>S</w:t>
      </w:r>
      <w:r>
        <w:rPr>
          <w:rFonts w:ascii="Times New Roman" w:hAnsi="Times New Roman" w:eastAsia="仿宋_GB2312"/>
          <w:sz w:val="32"/>
          <w:szCs w:val="32"/>
        </w:rPr>
        <w:t>排放总量、细颗粒物与臭氧浓度联合管控，定期公布监测数据，大力推进工业涂装、包装印刷、涂料、油墨、胶粘行业低（无）VOC</w:t>
      </w:r>
      <w:r>
        <w:rPr>
          <w:rFonts w:ascii="Times New Roman" w:hAnsi="Times New Roman" w:eastAsia="仿宋_GB2312"/>
          <w:sz w:val="32"/>
          <w:szCs w:val="32"/>
          <w:vertAlign w:val="subscript"/>
        </w:rPr>
        <w:t>S</w:t>
      </w:r>
      <w:r>
        <w:rPr>
          <w:rFonts w:ascii="Times New Roman" w:hAnsi="Times New Roman" w:eastAsia="仿宋_GB2312"/>
          <w:sz w:val="32"/>
          <w:szCs w:val="32"/>
        </w:rPr>
        <w:t>含量原辅材料源头替代。实施燃气锅炉低氮改造，积极推进“煤改气”，不再新增热源型等燃煤锅炉。积极推进车辆淘汰和油品控制，实施“清</w:t>
      </w:r>
      <w:r>
        <w:rPr>
          <w:rFonts w:hint="eastAsia" w:ascii="Times New Roman" w:hAnsi="Times New Roman" w:eastAsia="仿宋_GB2312"/>
          <w:sz w:val="32"/>
          <w:szCs w:val="32"/>
        </w:rPr>
        <w:t>洁</w:t>
      </w:r>
      <w:r>
        <w:rPr>
          <w:rFonts w:ascii="Times New Roman" w:hAnsi="Times New Roman" w:eastAsia="仿宋_GB2312"/>
          <w:sz w:val="32"/>
          <w:szCs w:val="32"/>
        </w:rPr>
        <w:t>柴油机行动”和机动车新车国六排施标准，全面供应国六车用汽柴油，积极推广新增公共交通、公务用车清洁新能源化，加强重型柴油货</w:t>
      </w:r>
      <w:r>
        <w:rPr>
          <w:rFonts w:hint="eastAsia" w:ascii="Times New Roman" w:hAnsi="Times New Roman" w:eastAsia="仿宋_GB2312"/>
          <w:sz w:val="32"/>
          <w:szCs w:val="32"/>
        </w:rPr>
        <w:t>车</w:t>
      </w:r>
      <w:r>
        <w:rPr>
          <w:rFonts w:ascii="Times New Roman" w:hAnsi="Times New Roman" w:eastAsia="仿宋_GB2312"/>
          <w:sz w:val="32"/>
          <w:szCs w:val="32"/>
        </w:rPr>
        <w:t>、农用车、柴油三轮车进城管控。持续加强施工扬尘、城市道路扬尘、餐饮油烟整治，持续深化秸秆禁烧、烟花爆竹禁燃管控和散煤治理，合理增扩禁燃区域。加强大气污染联防联控，积极推进常态联合防治和污染天气应急联动。</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持续做好水生态环境治理。</w:t>
      </w:r>
      <w:r>
        <w:rPr>
          <w:rFonts w:ascii="Times New Roman" w:hAnsi="Times New Roman" w:eastAsia="仿宋_GB2312"/>
          <w:sz w:val="32"/>
          <w:szCs w:val="32"/>
        </w:rPr>
        <w:t>落实水“30”条，实施城镇生活污水治理提质增效三年行动，持续推进排污口溯源排查和综合整治、工业污染治理提升、城区雨污分流整治。深化“双零”行动，实施水源涵养、清淤疏</w:t>
      </w:r>
      <w:r>
        <w:rPr>
          <w:rFonts w:hint="eastAsia" w:ascii="Times New Roman" w:hAnsi="Times New Roman" w:eastAsia="仿宋_GB2312"/>
          <w:sz w:val="32"/>
          <w:szCs w:val="32"/>
        </w:rPr>
        <w:t>浚</w:t>
      </w:r>
      <w:r>
        <w:rPr>
          <w:rFonts w:ascii="Times New Roman" w:hAnsi="Times New Roman" w:eastAsia="仿宋_GB2312"/>
          <w:sz w:val="32"/>
          <w:szCs w:val="32"/>
        </w:rPr>
        <w:t>、绿色防控、氮磷拦截、点面源治理、污水集中收集处置等丰乐河全流域水环境保护和水生态修复，落实水生态评价，加强丰乐水库、四村水库等生态流量科学调度，落实高水耗企业重点监管、严控新增，稳定丰乐河流域水环境。持</w:t>
      </w:r>
      <w:r>
        <w:rPr>
          <w:rFonts w:hint="eastAsia" w:ascii="Times New Roman" w:hAnsi="Times New Roman" w:eastAsia="仿宋_GB2312"/>
          <w:sz w:val="32"/>
          <w:szCs w:val="32"/>
        </w:rPr>
        <w:t>续</w:t>
      </w:r>
      <w:r>
        <w:rPr>
          <w:rFonts w:ascii="Times New Roman" w:hAnsi="Times New Roman" w:eastAsia="仿宋_GB2312"/>
          <w:sz w:val="32"/>
          <w:szCs w:val="32"/>
        </w:rPr>
        <w:t>做好丰乐河及饮用水水质监测和信息公开，严禁地下水开采，推进节水型城市建设。</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加快推进土壤和地下水污染防治</w:t>
      </w:r>
      <w:r>
        <w:rPr>
          <w:rFonts w:ascii="Times New Roman" w:hAnsi="Times New Roman" w:eastAsia="仿宋_GB2312"/>
          <w:sz w:val="32"/>
          <w:szCs w:val="32"/>
        </w:rPr>
        <w:t>。落实土壤“20”条，健全固体废弃物监管体系。完善土壤环境基础数据库，建立土壤环境污染监测网络。实施农用地和建筑用地分级、分类管理，加强施工工地、小微生产企业监管检查，加快循环园区危废集中暂存点建设，推进污水、自来水、餐余生活垃圾等污泥合法转运处置，解决中小企业危废处置难问题，严控新增土壤污染。加强重点区域、重点企业和重点农用地及周边区域土壤污染调查和风险评估，有序推进受污染耕地、土壤治理和修复，提高安全利用水平，防范人居环境和食品安全问题。</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系统推进山水林田湖草系统治理。</w:t>
      </w:r>
      <w:r>
        <w:rPr>
          <w:rFonts w:ascii="Times New Roman" w:hAnsi="Times New Roman" w:eastAsia="仿宋_GB2312"/>
          <w:sz w:val="32"/>
          <w:szCs w:val="32"/>
        </w:rPr>
        <w:t>实行领导干部生态文明建设“一岗双责”，严守“三线一单”，建立生态环境损害责任终身追究制。推深做实河（湖）长制，确保“六无四清”。全面完成丰乐河三期综合治理，加大丰乐河支流重点治理，推进重要水源地保护。深化林长制改革，落实护绿、增绿、管绿、用绿、活绿协同推进机制，推进国土绿化提升行动，培育发展特色林业产业，严格落实林业有害生物防控责任制和防治条例，坚决打好松材线虫病防控歼灭战和阻击战。</w:t>
      </w:r>
    </w:p>
    <w:p>
      <w:pPr>
        <w:pStyle w:val="3"/>
        <w:jc w:val="center"/>
        <w:rPr>
          <w:rFonts w:ascii="Times New Roman" w:hAnsi="Times New Roman" w:eastAsia="楷体_GB2312"/>
          <w:sz w:val="36"/>
          <w:szCs w:val="36"/>
        </w:rPr>
      </w:pPr>
      <w:bookmarkStart w:id="64" w:name="_Toc11144"/>
      <w:r>
        <w:rPr>
          <w:rFonts w:ascii="Times New Roman" w:hAnsi="Times New Roman" w:eastAsia="楷体_GB2312"/>
          <w:sz w:val="36"/>
          <w:szCs w:val="36"/>
        </w:rPr>
        <w:t>第三节  全面提高资源利用效率</w:t>
      </w:r>
      <w:bookmarkEnd w:id="64"/>
    </w:p>
    <w:p>
      <w:pPr>
        <w:ind w:firstLine="640" w:firstLineChars="200"/>
        <w:rPr>
          <w:rFonts w:ascii="Times New Roman" w:hAnsi="Times New Roman" w:eastAsia="仿宋_GB2312"/>
          <w:sz w:val="32"/>
          <w:szCs w:val="32"/>
        </w:rPr>
      </w:pPr>
      <w:r>
        <w:rPr>
          <w:rFonts w:ascii="Times New Roman" w:hAnsi="Times New Roman" w:eastAsia="仿宋_GB2312"/>
          <w:sz w:val="32"/>
          <w:szCs w:val="32"/>
        </w:rPr>
        <w:t>以生态优先、绿色发展为导向，以碳达峰、碳中和为目标，推进重点行业资源有偿使用、绿色运用、全民参与，</w:t>
      </w:r>
      <w:r>
        <w:rPr>
          <w:rFonts w:hint="eastAsia" w:ascii="Times New Roman" w:hAnsi="Times New Roman" w:eastAsia="仿宋_GB2312"/>
          <w:sz w:val="32"/>
          <w:szCs w:val="32"/>
        </w:rPr>
        <w:t>提高</w:t>
      </w:r>
      <w:r>
        <w:rPr>
          <w:rFonts w:ascii="Times New Roman" w:hAnsi="Times New Roman" w:eastAsia="仿宋_GB2312"/>
          <w:sz w:val="32"/>
          <w:szCs w:val="32"/>
        </w:rPr>
        <w:t>资源利用效率，促进绿色生态化转型。</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深化资源节约集约利用。</w:t>
      </w:r>
      <w:r>
        <w:rPr>
          <w:rFonts w:ascii="Times New Roman" w:hAnsi="Times New Roman" w:eastAsia="仿宋_GB2312"/>
          <w:sz w:val="32"/>
          <w:szCs w:val="32"/>
        </w:rPr>
        <w:t>严格实施能源消耗、水资源消耗、建设用地总量和强度“双控”制度，健全资源有偿使用制度，确保单位地区生产总值能耗</w:t>
      </w:r>
      <w:r>
        <w:rPr>
          <w:rFonts w:hint="eastAsia" w:ascii="Times New Roman" w:hAnsi="Times New Roman" w:eastAsia="仿宋_GB2312"/>
          <w:sz w:val="32"/>
          <w:szCs w:val="32"/>
        </w:rPr>
        <w:t>、水耗</w:t>
      </w:r>
      <w:r>
        <w:rPr>
          <w:rFonts w:ascii="Times New Roman" w:hAnsi="Times New Roman" w:eastAsia="仿宋_GB2312"/>
          <w:sz w:val="32"/>
          <w:szCs w:val="32"/>
        </w:rPr>
        <w:t>控制在市下达目标内。实施二氧化碳排放达峰行动，谋划碳中和路径方式。严格落实固定资产投资项目节能审查，严禁高能耗、低效益项目，完善重点用能企业在线监测，推广节能产品和技术应用，加大公共机构节能示范单位创建，落实城市路灯等公共照明分时段管控，推广合同能源化管理。加大水能、太阳能、地热能等开发利用，降低一次性石化能源使用比例。推行垃圾分类和减量化、资源化，推进生活垃圾、建筑垃圾、餐厨垃圾无害化、资源化利用。全面实施节水行动，推广生产生活节水器具，推进工业节水改造、高耗水行业节水增效、农业节水灌溉，深入推进农业水价综合改革，提高生产循环用水、中水回用利用水平，建立健全城镇供水价格形成机制和动态调整机制，不断完善居民用水阶梯水价、非居民用水超定额加价制度。实施最严格的节约用地和耕地保护制度，巩固永久基本农田划定成果，加强永久基本农田质量建设和耕地保护，深入开展工业、服务业“五</w:t>
      </w:r>
      <w:r>
        <w:rPr>
          <w:rFonts w:hint="eastAsia" w:ascii="Times New Roman" w:hAnsi="Times New Roman" w:eastAsia="仿宋_GB2312"/>
          <w:sz w:val="32"/>
          <w:szCs w:val="32"/>
        </w:rPr>
        <w:t>未</w:t>
      </w:r>
      <w:r>
        <w:rPr>
          <w:rFonts w:ascii="Times New Roman" w:hAnsi="Times New Roman" w:eastAsia="仿宋_GB2312"/>
          <w:sz w:val="32"/>
          <w:szCs w:val="32"/>
        </w:rPr>
        <w:t>”土地清理，落实以亩均投资、亩均税收为标准的用地差别化政策，提高土地集约节约利用水平。</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推进绿色生产生活方式。</w:t>
      </w:r>
      <w:r>
        <w:rPr>
          <w:rFonts w:ascii="Times New Roman" w:hAnsi="Times New Roman" w:eastAsia="仿宋_GB2312"/>
          <w:sz w:val="32"/>
          <w:szCs w:val="32"/>
        </w:rPr>
        <w:t>培育壮大节能环保和清洁能源产业，实施企业循环化生产、园区循环化发展、产业循环化组合，建立循环化产业体系。加大清洁化生产、工艺运用，支持企业加大DCS、SIS等自动化控制运用，推进生产端无人化、终端智能化。全面推进绿色建筑，稳步发展装配式建筑，推动建筑能效提升。完善绿色技术和产品推广机制，促进环境标志产品、绿色建筑、绿色食品等绿色消费品生产和认证，推进形成绿色生产方式。加强全域垃圾集中回收，完善机动车、家电等废旧物资回收网络，推进塑料污染治理，加大减量化、可降解包装使用，推广绿色出行、绿色消费方式。积极开展绿色家庭、学校、社区、商场、餐馆、景区创建行动，大力倡导“光盘行动”，建立健全制止餐饮浪费长效机制，浓厚低碳生活、绿色发展氛围。</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8" w:hRule="atLeast"/>
        </w:trPr>
        <w:tc>
          <w:tcPr>
            <w:tcW w:w="9155" w:type="dxa"/>
          </w:tcPr>
          <w:p>
            <w:pPr>
              <w:pStyle w:val="4"/>
              <w:jc w:val="center"/>
              <w:rPr>
                <w:rFonts w:ascii="Times New Roman" w:hAnsi="Times New Roman" w:eastAsia="仿宋_GB2312"/>
                <w:color w:val="auto"/>
                <w:sz w:val="28"/>
                <w:szCs w:val="28"/>
              </w:rPr>
            </w:pPr>
            <w:bookmarkStart w:id="65" w:name="_Toc2901"/>
            <w:r>
              <w:rPr>
                <w:rFonts w:ascii="Times New Roman" w:hAnsi="Times New Roman"/>
                <w:b/>
                <w:bCs/>
                <w:color w:val="auto"/>
                <w:sz w:val="32"/>
                <w:szCs w:val="32"/>
              </w:rPr>
              <w:t>专栏17  生态文明创建提升工程</w:t>
            </w:r>
            <w:bookmarkEnd w:id="65"/>
          </w:p>
          <w:p>
            <w:pPr>
              <w:pStyle w:val="11"/>
              <w:snapToGrid w:val="0"/>
              <w:spacing w:after="0"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到2025年，主要污染物排放总量、单位GDP能源消费、单位GDP节水等控制在市政府下达指标内，PM2.5浓度指标控制在30微克/立方米以内，环境优良天数比达到95%以上，地表水水质断面优良比率100%，污染地块安全利用率达到90%以上。</w:t>
            </w:r>
          </w:p>
          <w:p>
            <w:pPr>
              <w:pStyle w:val="11"/>
              <w:snapToGrid w:val="0"/>
              <w:spacing w:after="0" w:line="520" w:lineRule="exact"/>
              <w:ind w:firstLine="560" w:firstLineChars="200"/>
              <w:jc w:val="left"/>
              <w:rPr>
                <w:rFonts w:ascii="Times New Roman" w:hAnsi="Times New Roman"/>
                <w:sz w:val="32"/>
                <w:szCs w:val="32"/>
              </w:rPr>
            </w:pPr>
            <w:r>
              <w:rPr>
                <w:rFonts w:ascii="Times New Roman" w:hAnsi="Times New Roman" w:eastAsia="仿宋_GB2312"/>
                <w:sz w:val="28"/>
                <w:szCs w:val="28"/>
              </w:rPr>
              <w:t>实施城镇生活污水治理提质增效三年行动，持续推进排污口整治、工业污水治理提升、工业企业废气深度治理、雨污分流工程。重点实施污水管道清淤检测及修复工程、城东片区水环境综合整治工程、城区生活垃圾分类处理、市政雨污水管网日常维护、存量垃圾治理项目、生活垃圾转运处理及配套、建筑垃圾综合处理、农村生活垃圾分类收集转运、农村污水延伸扩面、非煤矿山治理、开发区大气环境精细化监测监控平台、循环园区安全环保智能化中控系统等项目。</w:t>
            </w:r>
          </w:p>
        </w:tc>
      </w:tr>
    </w:tbl>
    <w:p>
      <w:pPr>
        <w:ind w:firstLine="640" w:firstLineChars="200"/>
        <w:rPr>
          <w:rFonts w:ascii="Times New Roman" w:hAnsi="Times New Roman" w:eastAsia="仿宋_GB2312"/>
          <w:sz w:val="32"/>
          <w:szCs w:val="32"/>
        </w:rPr>
      </w:pPr>
    </w:p>
    <w:p>
      <w:pPr>
        <w:pStyle w:val="2"/>
        <w:jc w:val="center"/>
        <w:rPr>
          <w:rFonts w:ascii="Times New Roman" w:hAnsi="Times New Roman" w:eastAsia="黑体"/>
          <w:b w:val="0"/>
          <w:bCs/>
          <w:sz w:val="36"/>
          <w:szCs w:val="36"/>
        </w:rPr>
      </w:pPr>
      <w:bookmarkStart w:id="66" w:name="_Toc30862"/>
      <w:r>
        <w:rPr>
          <w:rFonts w:ascii="Times New Roman" w:hAnsi="Times New Roman" w:eastAsia="黑体"/>
          <w:b w:val="0"/>
          <w:bCs/>
          <w:sz w:val="36"/>
          <w:szCs w:val="36"/>
        </w:rPr>
        <w:t>第十二章  坚持繁荣发展文化事业和文化产业  持续提升全区文化软实力</w:t>
      </w:r>
      <w:bookmarkEnd w:id="66"/>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马克思主义在意识形态领域的指导地位，坚定文化自信，落实举旗帜、聚民心、育新人、兴文化、展形象使命任务，以高质量文化供给增强人民群众的获得感、幸福感，凝聚新阶段推动经济社会高质量发展的强大正能量。</w:t>
      </w:r>
    </w:p>
    <w:p>
      <w:pPr>
        <w:pStyle w:val="3"/>
        <w:jc w:val="center"/>
        <w:rPr>
          <w:rFonts w:ascii="Times New Roman" w:hAnsi="Times New Roman" w:eastAsia="楷体_GB2312"/>
          <w:sz w:val="36"/>
          <w:szCs w:val="36"/>
        </w:rPr>
      </w:pPr>
      <w:bookmarkStart w:id="67" w:name="_Toc8179"/>
      <w:r>
        <w:rPr>
          <w:rFonts w:ascii="Times New Roman" w:hAnsi="Times New Roman" w:eastAsia="楷体_GB2312"/>
          <w:sz w:val="36"/>
          <w:szCs w:val="36"/>
        </w:rPr>
        <w:t>第一节  提高社会文明程度</w:t>
      </w:r>
      <w:bookmarkEnd w:id="67"/>
    </w:p>
    <w:p>
      <w:pPr>
        <w:ind w:firstLine="640" w:firstLineChars="200"/>
        <w:rPr>
          <w:rFonts w:ascii="Times New Roman" w:hAnsi="Times New Roman" w:eastAsia="仿宋_GB2312"/>
          <w:sz w:val="32"/>
          <w:szCs w:val="32"/>
        </w:rPr>
      </w:pPr>
      <w:r>
        <w:rPr>
          <w:rFonts w:ascii="Times New Roman" w:hAnsi="Times New Roman" w:eastAsia="仿宋_GB2312"/>
          <w:sz w:val="32"/>
          <w:szCs w:val="32"/>
        </w:rPr>
        <w:t>深入开展习近平新时代中国特色社会主义思想学习教育，坚持以社会主义核心价值观引领文化建设，加强社会主义精神文明建设，促进满足人民文化需求和增强人民精神力量相统一，提高社会文明程度。</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常态化推进理想信念和党性教育。</w:t>
      </w:r>
      <w:r>
        <w:rPr>
          <w:rFonts w:ascii="Times New Roman" w:hAnsi="Times New Roman" w:eastAsia="仿宋_GB2312"/>
          <w:sz w:val="32"/>
          <w:szCs w:val="32"/>
        </w:rPr>
        <w:t>用好“学习强国”、安徽先锋网等网上理论传播平台，加强党史、新中国史、改革开放史、社会主义发展史教育，广泛开展爱国主义、集体主义、社会主义教育，用好岩寺新四军军部旧址纪念馆以及小练、琶塘、小坞等特色党史资源，传承弘扬“徽州铁军”精神，推进理想信念教育和党性教育常态化，推动形成适应新时代要求的思想观念、精神面貌、文化风尚、行为规范。</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深入推进新时代公民道德建设。</w:t>
      </w:r>
      <w:r>
        <w:rPr>
          <w:rFonts w:ascii="Times New Roman" w:hAnsi="Times New Roman" w:eastAsia="仿宋_GB2312"/>
          <w:sz w:val="32"/>
          <w:szCs w:val="32"/>
        </w:rPr>
        <w:t>巩固提升全国文明城市创建成效，制定完善文明创建长效机制，全面落实《黄山市文明行为促进条例》，持续推进精神文明建设，广泛开展“三关爱”志愿服务行动，让志愿服务蔚然成风。继续实施文明村镇创建和好人、“十星级文明户”评选活动，推进新时代文明实践中心建设，创新开展文明实践特色品牌，努力打造新时代文明实践“徽州样板”。加快推进诚信体系建设，全力打造“诚信徽州”。大力倡导艰苦奋斗、勤俭节约的传统美德，全面加强家庭、家教、家风建设，传承弘扬优秀古徽州家风、家训。加强网络文明建设，强化网络监督、净化网络空间、宣传文明上网，做到善建善治、善管善用。落实殡葬改革，推进城市农村公益性公墓建设，大力倡导移风易俗倡树文明的殡葬新概念新风尚，引导群众树立节约用地和文明、生态、绿色的殡葬方式。</w:t>
      </w:r>
    </w:p>
    <w:p>
      <w:pPr>
        <w:pStyle w:val="3"/>
        <w:jc w:val="center"/>
        <w:rPr>
          <w:rFonts w:ascii="Times New Roman" w:hAnsi="Times New Roman" w:eastAsia="楷体_GB2312"/>
          <w:sz w:val="36"/>
          <w:szCs w:val="36"/>
        </w:rPr>
      </w:pPr>
      <w:bookmarkStart w:id="68" w:name="_Toc24008"/>
      <w:r>
        <w:rPr>
          <w:rFonts w:ascii="Times New Roman" w:hAnsi="Times New Roman" w:eastAsia="楷体_GB2312"/>
          <w:sz w:val="36"/>
          <w:szCs w:val="36"/>
        </w:rPr>
        <w:t>第二节  提升公共文化服务水平</w:t>
      </w:r>
      <w:bookmarkEnd w:id="68"/>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夯实文化惠民工程，传承弘扬优秀传统文化，提升文化供给水平，不断满足城乡居民日益增长的精神文化生活。</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提升文化设施水平。</w:t>
      </w:r>
      <w:r>
        <w:rPr>
          <w:rFonts w:ascii="Times New Roman" w:hAnsi="Times New Roman" w:eastAsia="仿宋_GB2312"/>
          <w:sz w:val="32"/>
          <w:szCs w:val="32"/>
        </w:rPr>
        <w:t>推进媒体深度融合，深化“媒体+政务+服务”，牢牢把握正确舆论导向，打造富有活力、影响力、竞争力、创造力的区域融媒体中心，加强区直单位</w:t>
      </w:r>
      <w:r>
        <w:rPr>
          <w:rFonts w:hint="eastAsia" w:ascii="Times New Roman" w:hAnsi="Times New Roman" w:eastAsia="仿宋_GB2312"/>
          <w:sz w:val="32"/>
          <w:szCs w:val="32"/>
        </w:rPr>
        <w:t>、</w:t>
      </w:r>
      <w:r>
        <w:rPr>
          <w:rFonts w:ascii="Times New Roman" w:hAnsi="Times New Roman" w:eastAsia="仿宋_GB2312"/>
          <w:sz w:val="32"/>
          <w:szCs w:val="32"/>
        </w:rPr>
        <w:t>乡镇宣传员队伍建设。深入实施文化惠民工程，加快基层综合性文化服务中心建设，巩固乡镇综合文化站、农家书屋、村级综合文化服务中心等农村公共服务设施建设，打造提升一批村史馆、乡贤馆和民间博物馆，广泛开展群众性文化活动，推进区档案馆等公共数字文化建设，实施档案公共服务惠民行动，争创区图书馆国家二级馆，支持企业社会文化场馆对外开放，不断完善公共文化服务体系。</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丰富公共文化活动。</w:t>
      </w:r>
      <w:r>
        <w:rPr>
          <w:rFonts w:ascii="Times New Roman" w:hAnsi="Times New Roman" w:eastAsia="仿宋_GB2312"/>
          <w:sz w:val="32"/>
          <w:szCs w:val="32"/>
        </w:rPr>
        <w:t>加强新时代文艺人才队伍建设，积极参与长三角都市圈公共文化联盟平台建设。传承弘扬中华优秀传统文化，推进优秀民俗文化活动载体，创新开展徽州优秀传统文化教育活动。聚焦建党100周年、党的二十大等重要时间节点，推出一批展示徽州特色的重点作品。完善提升政府公共服务水平，开展文化惠民“菜单式”“订单式”服务，持续开展“三下乡”等活动。培育乡土文化人才，挖掘和发展特色鲜明的民俗民间文化、生态文化、饮食文化，推动以家风家训、历史事件、好人好事等为主题的文化创作，推出更多群众喜爱的文化精品。规范娱乐场所、上网服务营业场所、备案艺术品经营单位等经营性文化主体，加强文化市场综合执法。</w:t>
      </w:r>
    </w:p>
    <w:p>
      <w:pPr>
        <w:pStyle w:val="3"/>
        <w:jc w:val="center"/>
        <w:rPr>
          <w:rFonts w:ascii="Times New Roman" w:hAnsi="Times New Roman" w:eastAsia="楷体_GB2312"/>
          <w:sz w:val="36"/>
          <w:szCs w:val="36"/>
        </w:rPr>
      </w:pPr>
      <w:bookmarkStart w:id="69" w:name="_Toc17580"/>
      <w:r>
        <w:rPr>
          <w:rFonts w:ascii="Times New Roman" w:hAnsi="Times New Roman" w:eastAsia="楷体_GB2312"/>
          <w:sz w:val="36"/>
          <w:szCs w:val="36"/>
        </w:rPr>
        <w:t>第三节  健全现代文化产业体系</w:t>
      </w:r>
      <w:bookmarkEnd w:id="69"/>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坚持把社会效益放在首位，进一步深化文化体制改革，加快文化产业发展，推动文旅融合发展，推动文化产业高质量发展。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加强文化主体建设。</w:t>
      </w:r>
      <w:r>
        <w:rPr>
          <w:rFonts w:ascii="Times New Roman" w:hAnsi="Times New Roman" w:eastAsia="仿宋_GB2312"/>
          <w:sz w:val="32"/>
          <w:szCs w:val="32"/>
        </w:rPr>
        <w:t>完善文化产业规划和政策，推进文化产业数字化转型，鼓励发展新型文化企业、文化业态、文化消费模式，扩大优质文化产品供给。发展壮大文化市场主体，积极推进产业与文化融合型项目招商，支持中小微文化企业发展，加快培育一批规上文化产业企业，积极引入版权保护、信息咨询等中介机构。加强企业党建、企业文化、创意设计等融合，推进文化创意和设计服务向制造产业、设计产品渗透，建成一批企业文化阵地、基地，形成一批文化内涵浓郁的“文化+产业”企业。</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推进文化产业融合发展。</w:t>
      </w:r>
      <w:r>
        <w:rPr>
          <w:rFonts w:ascii="Times New Roman" w:hAnsi="Times New Roman" w:eastAsia="仿宋_GB2312"/>
          <w:sz w:val="32"/>
          <w:szCs w:val="32"/>
        </w:rPr>
        <w:t>推进文化和旅游、教育融合发展，</w:t>
      </w:r>
      <w:r>
        <w:rPr>
          <w:rFonts w:hint="eastAsia" w:ascii="Times New Roman" w:hAnsi="Times New Roman" w:eastAsia="仿宋_GB2312"/>
          <w:sz w:val="32"/>
          <w:szCs w:val="32"/>
        </w:rPr>
        <w:t>加快</w:t>
      </w:r>
      <w:r>
        <w:rPr>
          <w:rFonts w:ascii="Times New Roman" w:hAnsi="Times New Roman" w:eastAsia="仿宋_GB2312"/>
          <w:sz w:val="32"/>
          <w:szCs w:val="32"/>
        </w:rPr>
        <w:t>西溪南创意小镇、呈坎研学小镇等文旅融合特色小镇发展特色文化产业，建设数字文化创意产业园、红色文化旅游基地，推进旅游文化综合开发，依托民俗、农耕、徽文化等特色文化发展乡村旅游、研学业态，积极培育一批国家级、省级研学旅游基地、红色教育基地和特色旅游乡村。支持浪漫红文旅集团、竹艺轩等重点文化企业做大做强。加大文化对外宣传力度，打响徽州文化旅游品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7" w:hRule="atLeast"/>
        </w:trPr>
        <w:tc>
          <w:tcPr>
            <w:tcW w:w="10181" w:type="dxa"/>
          </w:tcPr>
          <w:p>
            <w:pPr>
              <w:pStyle w:val="4"/>
              <w:jc w:val="center"/>
              <w:rPr>
                <w:rFonts w:ascii="Times New Roman" w:hAnsi="Times New Roman"/>
                <w:b/>
                <w:bCs/>
                <w:color w:val="auto"/>
                <w:sz w:val="32"/>
                <w:szCs w:val="32"/>
              </w:rPr>
            </w:pPr>
            <w:bookmarkStart w:id="70" w:name="_Toc14728"/>
            <w:r>
              <w:rPr>
                <w:rFonts w:ascii="Times New Roman" w:hAnsi="Times New Roman"/>
                <w:b/>
                <w:bCs/>
                <w:color w:val="auto"/>
                <w:sz w:val="32"/>
                <w:szCs w:val="32"/>
              </w:rPr>
              <w:t>专栏18  徽文化传承和应用提升工程</w:t>
            </w:r>
            <w:bookmarkEnd w:id="70"/>
          </w:p>
          <w:p>
            <w:pPr>
              <w:pStyle w:val="11"/>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到2025年，新增各级文物保护单位5处左右，新增规上文化产业企业8家以上。</w:t>
            </w:r>
          </w:p>
          <w:p>
            <w:pPr>
              <w:pStyle w:val="11"/>
              <w:ind w:firstLine="560" w:firstLineChars="200"/>
              <w:jc w:val="left"/>
              <w:rPr>
                <w:rFonts w:ascii="Times New Roman" w:hAnsi="Times New Roman"/>
                <w:sz w:val="32"/>
                <w:szCs w:val="32"/>
              </w:rPr>
            </w:pPr>
            <w:r>
              <w:rPr>
                <w:rFonts w:ascii="Times New Roman" w:hAnsi="Times New Roman" w:eastAsia="仿宋_GB2312"/>
                <w:sz w:val="28"/>
                <w:szCs w:val="28"/>
              </w:rPr>
              <w:t>实施徽州区红色文化旅游（党性教育）基地、岩寺新四军军部旧址纪念馆提升、西溪南老屋阁绿绕亭综合提升、潜口民宅博物馆提升、呈坎古建筑群消防、呈坎下屋展示利用、呈坎国保单位保护、徽州古建筑保护利用、城乡公共文化一体化建设、公共体育设施提升和西溪南望山·艺术家走廊、贯之园艺术度假、谢裕大茶博园二期等项目。</w:t>
            </w:r>
          </w:p>
        </w:tc>
      </w:tr>
    </w:tbl>
    <w:p>
      <w:pPr>
        <w:ind w:firstLine="640" w:firstLineChars="200"/>
        <w:rPr>
          <w:rFonts w:ascii="Times New Roman" w:hAnsi="Times New Roman" w:eastAsia="仿宋_GB2312"/>
          <w:sz w:val="32"/>
          <w:szCs w:val="32"/>
        </w:rPr>
      </w:pPr>
    </w:p>
    <w:p>
      <w:pPr>
        <w:ind w:firstLine="640" w:firstLineChars="200"/>
        <w:rPr>
          <w:rFonts w:ascii="Times New Roman" w:hAnsi="Times New Roman" w:eastAsia="仿宋_GB2312"/>
          <w:sz w:val="32"/>
          <w:szCs w:val="32"/>
        </w:rPr>
      </w:pPr>
    </w:p>
    <w:p>
      <w:pPr>
        <w:pStyle w:val="2"/>
        <w:jc w:val="center"/>
        <w:rPr>
          <w:rFonts w:ascii="Times New Roman" w:hAnsi="Times New Roman" w:eastAsia="黑体"/>
          <w:b w:val="0"/>
          <w:bCs/>
          <w:sz w:val="36"/>
          <w:szCs w:val="36"/>
        </w:rPr>
      </w:pPr>
      <w:bookmarkStart w:id="71" w:name="_Toc32335"/>
      <w:r>
        <w:rPr>
          <w:rFonts w:ascii="Times New Roman" w:hAnsi="Times New Roman" w:eastAsia="黑体"/>
          <w:b w:val="0"/>
          <w:bCs/>
          <w:sz w:val="36"/>
          <w:szCs w:val="36"/>
        </w:rPr>
        <w:t>第十三章  坚持改善人民生活品质  促进人的全面发展和社会全面进步</w:t>
      </w:r>
      <w:bookmarkEnd w:id="71"/>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人民主体地位，顺应人民群众对美好生活的向往，健全基本公共服务体系，完善共建共治共享的社会治理制度，多渠道稳步提高城乡居民收入水平，扎实推动共同富裕，不断增强人民群众获得感、幸福感、安全感。</w:t>
      </w:r>
    </w:p>
    <w:p>
      <w:pPr>
        <w:pStyle w:val="3"/>
        <w:jc w:val="center"/>
        <w:rPr>
          <w:rFonts w:ascii="Times New Roman" w:hAnsi="Times New Roman" w:eastAsia="楷体_GB2312"/>
          <w:sz w:val="36"/>
          <w:szCs w:val="36"/>
        </w:rPr>
      </w:pPr>
      <w:bookmarkStart w:id="72" w:name="_Toc9754"/>
      <w:r>
        <w:rPr>
          <w:rFonts w:ascii="Times New Roman" w:hAnsi="Times New Roman" w:eastAsia="楷体_GB2312"/>
          <w:sz w:val="36"/>
          <w:szCs w:val="36"/>
        </w:rPr>
        <w:t>第一节  提高人民收入水平</w:t>
      </w:r>
      <w:bookmarkEnd w:id="72"/>
    </w:p>
    <w:p>
      <w:pPr>
        <w:ind w:firstLine="640" w:firstLineChars="200"/>
        <w:rPr>
          <w:rFonts w:ascii="Times New Roman" w:hAnsi="Times New Roman" w:eastAsia="仿宋_GB2312"/>
          <w:sz w:val="32"/>
          <w:szCs w:val="32"/>
        </w:rPr>
      </w:pPr>
      <w:r>
        <w:rPr>
          <w:rFonts w:ascii="Times New Roman" w:hAnsi="Times New Roman" w:eastAsia="仿宋_GB2312"/>
          <w:sz w:val="32"/>
          <w:szCs w:val="32"/>
        </w:rPr>
        <w:t>落实更加有为的收入持续增长机制，着力提高低收入群众收入，扩大中等收入群体收入，合理调节过高收入，实现经济增长与居民收入同步增长，进一步缩小城乡居民收入倍差。</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完善收入分配制度</w:t>
      </w:r>
      <w:r>
        <w:rPr>
          <w:rFonts w:ascii="Times New Roman" w:hAnsi="Times New Roman" w:eastAsia="仿宋_GB2312"/>
          <w:sz w:val="32"/>
          <w:szCs w:val="32"/>
        </w:rPr>
        <w:t>。坚持按劳分配为主体、多种分配方式并存，提高劳动报酬在初次分配中的比重，在经济增长的同时实现居民收入同步增长。深化机关事业单位工资制度改革，落实机关事业单位工作人员工资正常调整机制、国家有关公务员与企业相当人员工资水平调查比较制度，鼓励企业实行灵活多样的工资定酬机制。完善按要素分配政策制度，探索通过土地、资本等要素使用权、收益权增加中低收入群众要素收入。坚持共同富裕方向，落实工资合理增长机制和支付保障机制，严格执行最低工资标准，多渠道增加城乡居民财产性收入。</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提高低收入群体收入。</w:t>
      </w:r>
      <w:r>
        <w:rPr>
          <w:rFonts w:ascii="Times New Roman" w:hAnsi="Times New Roman" w:eastAsia="仿宋_GB2312"/>
          <w:sz w:val="32"/>
          <w:szCs w:val="32"/>
        </w:rPr>
        <w:t>鼓励引导低收入群体，通过自身努力发展产业、参与务工增加收入。支持龙头企业、专业合作社通过土地要素集聚、生产资源集中，与农户建立利益共享联姻，培育职业技能农民。强化就业扶持和再就业帮扶，完善专项救助制度，发展公益性慈善事业，增加财政转移性支付重点保障医疗、教育、生活、住房等基本需求，提高失能群体、五保户等兜底保障。</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扩大中等收入群众收益。</w:t>
      </w:r>
      <w:r>
        <w:rPr>
          <w:rFonts w:ascii="Times New Roman" w:hAnsi="Times New Roman" w:eastAsia="仿宋_GB2312"/>
          <w:sz w:val="32"/>
          <w:szCs w:val="32"/>
        </w:rPr>
        <w:t>推进实施中等收入群众倍增工程，推动和完善技能人才素质能力再提升，让真正具有创新意识、专业技能的劳动者有条件进入中高收入群体。实施以税收优惠为主的普惠创业政策，实行减征缓征小微企业和科技人员技术入股的所得税政策，提高科技人员进入中等收入群体比重。加强对科技成果的产权激励，支持科技人员兼职或者离岗创业从事科技成果转化活动。</w:t>
      </w:r>
    </w:p>
    <w:p>
      <w:pPr>
        <w:pStyle w:val="3"/>
        <w:jc w:val="center"/>
        <w:rPr>
          <w:rFonts w:ascii="Times New Roman" w:hAnsi="Times New Roman" w:eastAsia="楷体_GB2312"/>
          <w:sz w:val="36"/>
          <w:szCs w:val="36"/>
        </w:rPr>
      </w:pPr>
      <w:bookmarkStart w:id="73" w:name="_Toc27590"/>
      <w:r>
        <w:rPr>
          <w:rFonts w:ascii="Times New Roman" w:hAnsi="Times New Roman" w:eastAsia="楷体_GB2312"/>
          <w:sz w:val="36"/>
          <w:szCs w:val="36"/>
        </w:rPr>
        <w:t>第二节  强化就业优先政策</w:t>
      </w:r>
      <w:bookmarkEnd w:id="73"/>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坚持扩大就业容量，提升就业质量，促进充分就业，力争形成与产业发展相适应、更充分的就业环境，保持就业长期相对稳定。</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积极扩大就业。</w:t>
      </w:r>
      <w:r>
        <w:rPr>
          <w:rFonts w:ascii="Times New Roman" w:hAnsi="Times New Roman" w:eastAsia="仿宋_GB2312"/>
          <w:sz w:val="32"/>
          <w:szCs w:val="32"/>
        </w:rPr>
        <w:t>完善促进创业带动就业、多渠道灵活就业的保障制度。持续推进徽匠振兴工程和就业技能民生工程，引导积极就业推进再就业，完善就业失业兜底保障，确保零就业家庭动态“清零”。大力发展基于平台经济、数字经济、楼宇经济、总部经济、“宅经济”的新兴就业形态，鼓励劳动者通过临时性、非全日制、季节性、弹性工作等灵活多样形式实现就业，扩展城乡公益性岗位。加大援企稳岗力度，支持企业稳定岗位。大力发展人力资源服务，开展“春风行动”等多层次专场招聘活动，满足产业工人、专技人才、高层次科技人才等就业需求。到2025年，城镇新增就业0.9万人，城镇登记失业率控制在4.2%以内。</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完善支持政策。</w:t>
      </w:r>
      <w:r>
        <w:rPr>
          <w:rFonts w:ascii="Times New Roman" w:hAnsi="Times New Roman" w:eastAsia="仿宋_GB2312"/>
          <w:sz w:val="32"/>
          <w:szCs w:val="32"/>
        </w:rPr>
        <w:t>健全区乡</w:t>
      </w:r>
      <w:r>
        <w:rPr>
          <w:rFonts w:hint="eastAsia" w:ascii="Times New Roman" w:hAnsi="Times New Roman" w:eastAsia="仿宋_GB2312"/>
          <w:sz w:val="32"/>
          <w:szCs w:val="32"/>
        </w:rPr>
        <w:t>（</w:t>
      </w:r>
      <w:r>
        <w:rPr>
          <w:rFonts w:ascii="Times New Roman" w:hAnsi="Times New Roman" w:eastAsia="仿宋_GB2312"/>
          <w:sz w:val="32"/>
          <w:szCs w:val="32"/>
        </w:rPr>
        <w:t>镇</w:t>
      </w:r>
      <w:r>
        <w:rPr>
          <w:rFonts w:hint="eastAsia" w:ascii="Times New Roman" w:hAnsi="Times New Roman" w:eastAsia="仿宋_GB2312"/>
          <w:sz w:val="32"/>
          <w:szCs w:val="32"/>
        </w:rPr>
        <w:t>）</w:t>
      </w:r>
      <w:r>
        <w:rPr>
          <w:rFonts w:ascii="Times New Roman" w:hAnsi="Times New Roman" w:eastAsia="仿宋_GB2312"/>
          <w:sz w:val="32"/>
          <w:szCs w:val="32"/>
        </w:rPr>
        <w:t>村一体化就业公共服务体系，完善职业培训、就业创业服务、劳动保障维权“三位一体”的就业创业服务机制，持续开展“四进一促”专项行动，完善鼓励创新创业支持政策，共建共享一批公共实训基地、产教融合实训基地、农村劳动力就业创业实训基地，促进高校毕业生等青年群体返乡创业、农民工就业创业，提升创业参与率和成功率，引导和支持小微创业者在“双创”中实现创收致富。完善农民工工资支付保障机制，加大根治欠薪力度。推进“互联网+就业服务”，规范企业劳动用工管理，完善劳动者权益保护、劳动关系协调和矛盾调处机制，积极构建劳动和谐关系园区。</w:t>
      </w:r>
    </w:p>
    <w:p>
      <w:pPr>
        <w:pStyle w:val="3"/>
        <w:jc w:val="center"/>
        <w:rPr>
          <w:rFonts w:ascii="Times New Roman" w:hAnsi="Times New Roman" w:eastAsia="楷体_GB2312"/>
          <w:sz w:val="36"/>
          <w:szCs w:val="36"/>
        </w:rPr>
      </w:pPr>
      <w:bookmarkStart w:id="74" w:name="_Toc17738"/>
      <w:r>
        <w:rPr>
          <w:rFonts w:ascii="Times New Roman" w:hAnsi="Times New Roman" w:eastAsia="楷体_GB2312"/>
          <w:sz w:val="36"/>
          <w:szCs w:val="36"/>
        </w:rPr>
        <w:t>第三节  提高教育教学质量</w:t>
      </w:r>
      <w:bookmarkEnd w:id="74"/>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全面贯彻落实党的教育方针，坚持教育优先发展，进一步均衡城乡教育资源配置，缩小区域内教育差距。</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完善全方位育人格局。</w:t>
      </w:r>
      <w:r>
        <w:rPr>
          <w:rFonts w:ascii="Times New Roman" w:hAnsi="Times New Roman" w:eastAsia="仿宋_GB2312"/>
          <w:sz w:val="32"/>
          <w:szCs w:val="32"/>
        </w:rPr>
        <w:t>加强思政课教育，推进“三全育人”，健全学校家庭社会协同育人机制，增强学生文明素养、社会责任意识、实践本领，重视青少年身体素质和心理健康教育。完善普惠性学前教育，实施学前教育行动计划，扩建完善乡镇幼儿园办学条件，扩增城区公办幼儿园办学规模。推进义务教育优质均衡发展，完善城乡中小学校布局和标准化建设，完成徽州二中综合楼改扩建，加快乡镇中心校周转房建设，力争通过国家“义务教育优质均衡发展区”认定。鼓励普通高中特色多样化发展，全面提升徽州一中教学育人质量。规范民办教育及培训机构发展，继续做好“无证园”清零，加强文峰学校管理。推进“生本教育”课堂改革、“智慧校园”信息化建设，加强校园体育锻炼，强化劳动教育，推进农村义务教育营养改善计划，形成全员育人、全过程育人、全方位育人格局。“十四五”期间，高中阶段教育毛入学率保持100%。力争到2025年，高考一本、本科达线率处于全市前列。</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提升师资能力水平。</w:t>
      </w:r>
      <w:r>
        <w:rPr>
          <w:rFonts w:ascii="Times New Roman" w:hAnsi="Times New Roman" w:eastAsia="仿宋_GB2312"/>
          <w:sz w:val="32"/>
          <w:szCs w:val="32"/>
        </w:rPr>
        <w:t>大力培养高素质专业化教师队伍，围绕“四有”好老师标准，健全师德师风建设长效机制，提升教师学识能力，倡导全社会尊师重教。推进中小学编制周转池制度建设，完善中小学教师“</w:t>
      </w:r>
      <w:r>
        <w:rPr>
          <w:rFonts w:hint="eastAsia" w:ascii="Times New Roman" w:hAnsi="Times New Roman" w:eastAsia="仿宋_GB2312"/>
          <w:sz w:val="32"/>
          <w:szCs w:val="32"/>
        </w:rPr>
        <w:t>区</w:t>
      </w:r>
      <w:r>
        <w:rPr>
          <w:rFonts w:ascii="Times New Roman" w:hAnsi="Times New Roman" w:eastAsia="仿宋_GB2312"/>
          <w:sz w:val="32"/>
          <w:szCs w:val="32"/>
        </w:rPr>
        <w:t>管校聘”管理制度，实施乡村中小学首席教师岗位计划、定向培养乡村教师计划和“特岗计划”，积极引进长三角优质教育资源，共建校长、教师、培训联动平台，发展远程教育。</w:t>
      </w:r>
    </w:p>
    <w:p>
      <w:pPr>
        <w:pStyle w:val="3"/>
        <w:jc w:val="center"/>
        <w:rPr>
          <w:rFonts w:ascii="Times New Roman" w:hAnsi="Times New Roman" w:eastAsia="楷体_GB2312"/>
          <w:sz w:val="36"/>
          <w:szCs w:val="36"/>
        </w:rPr>
      </w:pPr>
      <w:bookmarkStart w:id="75" w:name="_Toc21521"/>
      <w:r>
        <w:rPr>
          <w:rFonts w:ascii="Times New Roman" w:hAnsi="Times New Roman" w:eastAsia="楷体_GB2312"/>
          <w:sz w:val="36"/>
          <w:szCs w:val="36"/>
        </w:rPr>
        <w:t>第四节  健全多层次社会保障体系</w:t>
      </w:r>
      <w:bookmarkEnd w:id="75"/>
    </w:p>
    <w:p>
      <w:pPr>
        <w:ind w:firstLine="640" w:firstLineChars="200"/>
        <w:rPr>
          <w:rFonts w:ascii="Times New Roman" w:hAnsi="Times New Roman" w:eastAsia="仿宋_GB2312"/>
          <w:sz w:val="32"/>
          <w:szCs w:val="32"/>
        </w:rPr>
      </w:pPr>
      <w:r>
        <w:rPr>
          <w:rFonts w:ascii="Times New Roman" w:hAnsi="Times New Roman" w:eastAsia="仿宋_GB2312"/>
          <w:sz w:val="32"/>
          <w:szCs w:val="32"/>
        </w:rPr>
        <w:t>提高发展平衡性，推动公共资源向基层延伸，建成全覆盖、保基本、多层次、可持续的社会保障体系。</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完善社会保险制度</w:t>
      </w:r>
      <w:r>
        <w:rPr>
          <w:rFonts w:ascii="Times New Roman" w:hAnsi="Times New Roman" w:eastAsia="仿宋_GB2312"/>
          <w:sz w:val="32"/>
          <w:szCs w:val="32"/>
        </w:rPr>
        <w:t>。稳步推进机关事业单位养老保险制度改革，规范基本养老保险缴费政策，提高职业年金缴存面。完善失业保险制度，建立更加便捷的社会保险转移接续机制。推进基本医疗保险制度和政策体系，建立健全职工基本医疗保险门诊共济保障机制。健全统一规范的医疗救助制度，及时精准识别救助对象，科学确定救助范围。积极开展长期护理保险制度试点工作，有效解决重度失能人员、失能老年人、重度残疾人等基本护理保障需求，完善综合性社会救助体系，积极发展商业医疗保险，有效整合各种社会救助、慈善资源。</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扩大社会保障覆盖面。</w:t>
      </w:r>
      <w:r>
        <w:rPr>
          <w:rFonts w:ascii="Times New Roman" w:hAnsi="Times New Roman" w:eastAsia="仿宋_GB2312"/>
          <w:sz w:val="32"/>
          <w:szCs w:val="32"/>
        </w:rPr>
        <w:t>深入推进全民参保计划，到2025年，全区城镇职工养老保险、城乡居民基本养老保险、工伤保险、失业保险参保人数分别达到2.1万人、4.8万人、1.5万人、1.4万人。放宽灵活就业人员参保条件，建立新业态从业人员职业伤害保险制度，完善被征地农民社会保障政策。落实社会救助和保障标准与物价上涨联动机制，及时足额向困难群众发放价格临时补贴，提升流浪乞讨救助水平和安置照料水平，加强区乡镇敬老院、养护院建设，实现困难残疾人生活补贴和重度残疾人护理补贴保障率100%，健全退役军人工作体系和保障制度，推进救助、福利、慈善、优抚信息资源互通共享，健全分层分类的社会救助体系，形成“资金+实称+服务”社会救助模式。</w:t>
      </w:r>
    </w:p>
    <w:p>
      <w:pPr>
        <w:pStyle w:val="3"/>
        <w:jc w:val="center"/>
        <w:rPr>
          <w:rFonts w:ascii="Times New Roman" w:hAnsi="Times New Roman" w:eastAsia="楷体_GB2312"/>
          <w:sz w:val="36"/>
          <w:szCs w:val="36"/>
        </w:rPr>
      </w:pPr>
      <w:bookmarkStart w:id="76" w:name="_Toc17654"/>
      <w:r>
        <w:rPr>
          <w:rFonts w:ascii="Times New Roman" w:hAnsi="Times New Roman" w:eastAsia="楷体_GB2312"/>
          <w:sz w:val="36"/>
          <w:szCs w:val="36"/>
        </w:rPr>
        <w:t>第五节  全面推进健康徽州建设</w:t>
      </w:r>
      <w:bookmarkEnd w:id="76"/>
    </w:p>
    <w:p>
      <w:pPr>
        <w:ind w:firstLine="640" w:firstLineChars="200"/>
        <w:rPr>
          <w:rFonts w:ascii="Times New Roman" w:hAnsi="Times New Roman" w:eastAsia="仿宋_GB2312"/>
          <w:sz w:val="32"/>
          <w:szCs w:val="32"/>
        </w:rPr>
      </w:pPr>
      <w:r>
        <w:rPr>
          <w:rFonts w:ascii="Times New Roman" w:hAnsi="Times New Roman" w:eastAsia="仿宋_GB2312"/>
          <w:sz w:val="32"/>
          <w:szCs w:val="32"/>
        </w:rPr>
        <w:t>把保障人民健康放在优先发展的战略位置，坚持大卫生大健康的理念，坚持预防为主的方针，巩固国家卫生城市创建成果，推进实施健康徽州行动，推动健康与经济社会协调发展。</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加强公共卫生体系建设</w:t>
      </w:r>
      <w:r>
        <w:rPr>
          <w:rFonts w:ascii="Times New Roman" w:hAnsi="Times New Roman" w:eastAsia="仿宋_GB2312"/>
          <w:sz w:val="32"/>
          <w:szCs w:val="32"/>
        </w:rPr>
        <w:t>。保障公共卫生事业投入稳定增长，完善城乡三级医疗服务网络和公共卫生服务项目，推进医疗卫生机构标准化建设，健全社区卫生服务站功能，强化村医和应急队伍专业化培训，提高防治结合和健康管理能力。强化疾病预防控制体系建设，改善疾控基础条件，强化监测预警、风险评估、流行病学调查、检验检测、应急处置等职能，提高疾病预防处置能力。提升健康教育、慢</w:t>
      </w:r>
      <w:r>
        <w:rPr>
          <w:rFonts w:hint="eastAsia" w:ascii="Times New Roman" w:hAnsi="Times New Roman" w:eastAsia="仿宋_GB2312"/>
          <w:sz w:val="32"/>
          <w:szCs w:val="32"/>
        </w:rPr>
        <w:t>性</w:t>
      </w:r>
      <w:r>
        <w:rPr>
          <w:rFonts w:ascii="Times New Roman" w:hAnsi="Times New Roman" w:eastAsia="仿宋_GB2312"/>
          <w:sz w:val="32"/>
          <w:szCs w:val="32"/>
        </w:rPr>
        <w:t>病管理和残疾康复服务质量，重视精神卫生和心理健康。推进“互联网+”智理助医平台运用，积极发展互联网微医新业态。</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深化医药卫生体制改革。</w:t>
      </w:r>
      <w:r>
        <w:rPr>
          <w:rFonts w:ascii="Times New Roman" w:hAnsi="Times New Roman" w:eastAsia="仿宋_GB2312"/>
          <w:sz w:val="32"/>
          <w:szCs w:val="32"/>
        </w:rPr>
        <w:t>落实药品、医用耗材集中带量采购制度改革，落实筹资分担和调整机制，推进分级诊疗和双向转诊工作。加强市三院建设管理，健全现代医院管理制度，推进市三院和市人民医院紧密型医疗联合体建设，提高市三院医疗服务质量和管理水平。加强卫生健康人才队伍建设，完善市三院和基层卫生院医疗技术人才引进培养机制。加强中医药专业人才培养，推进中医药产业加快发展。支持社会办医，规范黄山新晨医院、和康中医馆运营发展。</w:t>
      </w:r>
    </w:p>
    <w:p>
      <w:pPr>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强化卫生健康综合监管。</w:t>
      </w:r>
      <w:r>
        <w:rPr>
          <w:rFonts w:hint="eastAsia" w:ascii="Times New Roman" w:hAnsi="Times New Roman" w:eastAsia="仿宋_GB2312"/>
          <w:sz w:val="32"/>
          <w:szCs w:val="32"/>
        </w:rPr>
        <w:t>加强卫生监督队伍建设，持续推进“智慧卫监”，综合运用移动执法、在线监管、人工智能等“互联网+监管”手段，提升行业大数据监管、协同监管和诚信监管水平。依托信息化监管平台对医疗机构开展全过程、全链条、全方位实时在线监管，实现线上线下全覆盖。按照公共场所量化分级管理要求，做好公共场所量化分级管理工作，保持全区量化分级管理率在85%以上，争取达到90%以上。</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深入开展爱国卫生运动。</w:t>
      </w:r>
      <w:r>
        <w:rPr>
          <w:rFonts w:ascii="Times New Roman" w:hAnsi="Times New Roman" w:eastAsia="仿宋_GB2312"/>
          <w:sz w:val="32"/>
          <w:szCs w:val="32"/>
        </w:rPr>
        <w:t>丰富爱国卫生工作内涵，探索更加有效的社会动员、全民参与方式。加强公共卫生环境基础设施建设，推进城乡环境卫生综合整治。加强卫生健康教育和科学知识普及，提高群众公共卫生素养。实施全民健身设施补短板工程，加大公共体育设施标准化建设，结合老旧小区改造盘活存量资源，建设一批便民惠民的体育场馆和社区体育设施。积极参加省市级体育竞技赛事活动，继续办好全民健身运动会、农民运动会，增强全民健身意识，促进全民养成文明健康生活方式。</w:t>
      </w:r>
    </w:p>
    <w:p>
      <w:pPr>
        <w:pStyle w:val="11"/>
        <w:ind w:firstLine="210"/>
      </w:pPr>
    </w:p>
    <w:p>
      <w:pPr>
        <w:pStyle w:val="3"/>
        <w:jc w:val="center"/>
        <w:rPr>
          <w:rFonts w:ascii="Times New Roman" w:hAnsi="Times New Roman" w:eastAsia="楷体_GB2312"/>
          <w:sz w:val="36"/>
          <w:szCs w:val="36"/>
        </w:rPr>
      </w:pPr>
      <w:bookmarkStart w:id="77" w:name="_Toc3337"/>
      <w:r>
        <w:rPr>
          <w:rFonts w:ascii="Times New Roman" w:hAnsi="Times New Roman" w:eastAsia="楷体_GB2312"/>
          <w:sz w:val="36"/>
          <w:szCs w:val="36"/>
        </w:rPr>
        <w:t>第六节  积极应对人口老龄化</w:t>
      </w:r>
      <w:bookmarkEnd w:id="77"/>
    </w:p>
    <w:p>
      <w:pPr>
        <w:ind w:firstLine="640" w:firstLineChars="200"/>
        <w:rPr>
          <w:rFonts w:ascii="Times New Roman" w:hAnsi="Times New Roman" w:eastAsia="仿宋_GB2312"/>
          <w:sz w:val="32"/>
          <w:szCs w:val="32"/>
        </w:rPr>
      </w:pPr>
      <w:r>
        <w:rPr>
          <w:rFonts w:ascii="Times New Roman" w:hAnsi="Times New Roman" w:eastAsia="仿宋_GB2312"/>
          <w:sz w:val="32"/>
          <w:szCs w:val="32"/>
        </w:rPr>
        <w:t>准确把握我区人口变化趋势和规律，落实积极生育政策，积极应对老龄化，健全幼有所育、老有所养的服务体系，促进人口长期相对均衡发展，提高人口素质。</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提高优生优育服务水平。</w:t>
      </w:r>
      <w:r>
        <w:rPr>
          <w:rFonts w:ascii="Times New Roman" w:hAnsi="Times New Roman" w:eastAsia="仿宋_GB2312"/>
          <w:sz w:val="32"/>
          <w:szCs w:val="32"/>
        </w:rPr>
        <w:t>完善妇幼保健基础设施和能力建设，强化出生缺陷综合防治，完善生育支持、幼儿养育、就业等配套政策，落实3岁以下婴幼儿照护服务奖补政策，推进幼儿园托幼一体化服务，发展普惠托育服务体系，支持社会力量设立婴幼儿照护服务机构，降低生育、养育、教育成本。</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加大养老服务体系建设。</w:t>
      </w:r>
      <w:r>
        <w:rPr>
          <w:rFonts w:ascii="Times New Roman" w:hAnsi="Times New Roman" w:eastAsia="仿宋_GB2312"/>
          <w:sz w:val="32"/>
          <w:szCs w:val="32"/>
        </w:rPr>
        <w:t>推进养老事业与养老产业协同发展，完善高龄津贴、护理补贴、服务补贴等老年人补贴制度，发展普惠型养老服务和互助性养老，建立“一刻钟”居家养老服务圈和居家社区养老紧急救援系统。办好徽州区老年大学，落实城区新建小区配建养老服务设施，推进老旧小区适老化改造，新建</w:t>
      </w:r>
      <w:r>
        <w:rPr>
          <w:rFonts w:hint="eastAsia" w:ascii="Times New Roman" w:hAnsi="Times New Roman" w:eastAsia="仿宋_GB2312"/>
          <w:sz w:val="32"/>
          <w:szCs w:val="32"/>
        </w:rPr>
        <w:t>黄山市桐鹤</w:t>
      </w:r>
      <w:r>
        <w:rPr>
          <w:rFonts w:ascii="Times New Roman" w:hAnsi="Times New Roman" w:eastAsia="仿宋_GB2312"/>
          <w:sz w:val="32"/>
          <w:szCs w:val="32"/>
        </w:rPr>
        <w:t>养</w:t>
      </w:r>
      <w:r>
        <w:rPr>
          <w:rFonts w:hint="eastAsia" w:ascii="Times New Roman" w:hAnsi="Times New Roman" w:eastAsia="仿宋_GB2312"/>
          <w:sz w:val="32"/>
          <w:szCs w:val="32"/>
        </w:rPr>
        <w:t>护</w:t>
      </w:r>
      <w:r>
        <w:rPr>
          <w:rFonts w:ascii="Times New Roman" w:hAnsi="Times New Roman" w:eastAsia="仿宋_GB2312"/>
          <w:sz w:val="32"/>
          <w:szCs w:val="32"/>
        </w:rPr>
        <w:t>院（暨失能照护中心）</w:t>
      </w:r>
      <w:r>
        <w:rPr>
          <w:rFonts w:hint="eastAsia" w:ascii="Times New Roman" w:hAnsi="Times New Roman" w:eastAsia="仿宋_GB2312"/>
          <w:sz w:val="32"/>
          <w:szCs w:val="32"/>
        </w:rPr>
        <w:t>，实施乡镇敬老院、养老服务中心（站）提升改造项目</w:t>
      </w:r>
      <w:r>
        <w:rPr>
          <w:rFonts w:ascii="Times New Roman" w:hAnsi="Times New Roman" w:eastAsia="仿宋_GB2312"/>
          <w:sz w:val="32"/>
          <w:szCs w:val="32"/>
        </w:rPr>
        <w:t>。积极推进城市社区居家养老“三级中心”功能发挥、城市社区嵌入式养老服务和家庭</w:t>
      </w:r>
      <w:r>
        <w:rPr>
          <w:rFonts w:hint="eastAsia" w:ascii="Times New Roman" w:hAnsi="Times New Roman" w:eastAsia="仿宋_GB2312"/>
          <w:sz w:val="32"/>
          <w:szCs w:val="32"/>
        </w:rPr>
        <w:t>支持</w:t>
      </w:r>
      <w:r>
        <w:rPr>
          <w:rFonts w:ascii="Times New Roman" w:hAnsi="Times New Roman" w:eastAsia="仿宋_GB2312"/>
          <w:sz w:val="32"/>
          <w:szCs w:val="32"/>
        </w:rPr>
        <w:t>养老</w:t>
      </w:r>
      <w:r>
        <w:rPr>
          <w:rFonts w:hint="eastAsia" w:ascii="Times New Roman" w:hAnsi="Times New Roman" w:eastAsia="仿宋_GB2312"/>
          <w:sz w:val="32"/>
          <w:szCs w:val="32"/>
        </w:rPr>
        <w:t>服务功能等</w:t>
      </w:r>
      <w:r>
        <w:rPr>
          <w:rFonts w:ascii="Times New Roman" w:hAnsi="Times New Roman" w:eastAsia="仿宋_GB2312"/>
          <w:sz w:val="32"/>
          <w:szCs w:val="32"/>
        </w:rPr>
        <w:t>设施建设，不断夯实城乡养老服务设施的照护服务功能。积极开发老龄人力资源，发展银发经济，打造一批健康养老示范基地，构建居家社区机构相协调、医养康养相结合的多层次养老服务体系。鼓励发展中医药老年健康管理服务。持续推动充分兼顾老年人需要的</w:t>
      </w:r>
      <w:r>
        <w:rPr>
          <w:rFonts w:hint="eastAsia" w:ascii="Times New Roman" w:hAnsi="Times New Roman" w:eastAsia="仿宋_GB2312"/>
          <w:sz w:val="32"/>
          <w:szCs w:val="32"/>
        </w:rPr>
        <w:t>养老</w:t>
      </w:r>
      <w:r>
        <w:rPr>
          <w:rFonts w:ascii="Times New Roman" w:hAnsi="Times New Roman" w:eastAsia="仿宋_GB2312"/>
          <w:sz w:val="32"/>
          <w:szCs w:val="32"/>
        </w:rPr>
        <w:t>智慧</w:t>
      </w:r>
      <w:r>
        <w:rPr>
          <w:rFonts w:hint="eastAsia" w:ascii="Times New Roman" w:hAnsi="Times New Roman" w:eastAsia="仿宋_GB2312"/>
          <w:sz w:val="32"/>
          <w:szCs w:val="32"/>
        </w:rPr>
        <w:t>化</w:t>
      </w:r>
      <w:r>
        <w:rPr>
          <w:rFonts w:ascii="Times New Roman" w:hAnsi="Times New Roman" w:eastAsia="仿宋_GB2312"/>
          <w:sz w:val="32"/>
          <w:szCs w:val="32"/>
        </w:rPr>
        <w:t>建设，切实解决老年人在运用智能技术方面遇到的困难。进一步建立基本养老服务制度，从完善兜底性养老服务制度、建立基本养老服务机制、完善老年人社会福利制度和探索建立长期照护保障制度着手，不断夯实基本养老服务根基，健全完善多层次养老服务设施。</w:t>
      </w:r>
    </w:p>
    <w:p>
      <w:pPr>
        <w:pStyle w:val="3"/>
        <w:jc w:val="center"/>
        <w:rPr>
          <w:rFonts w:ascii="Times New Roman" w:hAnsi="Times New Roman" w:eastAsia="楷体_GB2312"/>
          <w:sz w:val="36"/>
          <w:szCs w:val="36"/>
        </w:rPr>
      </w:pPr>
      <w:bookmarkStart w:id="78" w:name="_Toc19769"/>
      <w:r>
        <w:rPr>
          <w:rFonts w:ascii="Times New Roman" w:hAnsi="Times New Roman" w:eastAsia="楷体_GB2312"/>
          <w:sz w:val="36"/>
          <w:szCs w:val="36"/>
        </w:rPr>
        <w:t>第七节  加强和创新社会治理</w:t>
      </w:r>
      <w:bookmarkEnd w:id="78"/>
    </w:p>
    <w:p>
      <w:pPr>
        <w:ind w:firstLine="640" w:firstLineChars="200"/>
        <w:rPr>
          <w:rFonts w:ascii="Times New Roman" w:hAnsi="Times New Roman" w:eastAsia="仿宋_GB2312"/>
          <w:sz w:val="32"/>
          <w:szCs w:val="32"/>
        </w:rPr>
      </w:pPr>
      <w:r>
        <w:rPr>
          <w:rFonts w:ascii="Times New Roman" w:hAnsi="Times New Roman" w:eastAsia="仿宋_GB2312"/>
          <w:sz w:val="32"/>
          <w:szCs w:val="32"/>
        </w:rPr>
        <w:t>扎实推进社会治理法治化、智能化、专业化水平，完善共建共治共享的社会治理制度，全力维护社会稳定。</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完善社会治理体系。</w:t>
      </w:r>
      <w:r>
        <w:rPr>
          <w:rFonts w:ascii="Times New Roman" w:hAnsi="Times New Roman" w:eastAsia="仿宋_GB2312"/>
          <w:sz w:val="32"/>
          <w:szCs w:val="32"/>
        </w:rPr>
        <w:t>健全完善党委领导、政府负责、民主协商、社会协同、公众参与、法治保障、科学支撑的社会治理体系，构建“五治融合”的社会治理新模式，实现政府治理和社会调节、居民自治良性互动，建成</w:t>
      </w:r>
      <w:r>
        <w:rPr>
          <w:rFonts w:hint="eastAsia" w:ascii="Times New Roman" w:hAnsi="Times New Roman" w:eastAsia="仿宋_GB2312"/>
          <w:sz w:val="32"/>
          <w:szCs w:val="32"/>
        </w:rPr>
        <w:t>“</w:t>
      </w:r>
      <w:r>
        <w:rPr>
          <w:rFonts w:ascii="Times New Roman" w:hAnsi="Times New Roman" w:eastAsia="仿宋_GB2312"/>
          <w:sz w:val="32"/>
          <w:szCs w:val="32"/>
        </w:rPr>
        <w:t>人人有责、人人尽责、人人享有</w:t>
      </w:r>
      <w:r>
        <w:rPr>
          <w:rFonts w:hint="eastAsia" w:ascii="Times New Roman" w:hAnsi="Times New Roman" w:eastAsia="仿宋_GB2312"/>
          <w:sz w:val="32"/>
          <w:szCs w:val="32"/>
        </w:rPr>
        <w:t>”</w:t>
      </w:r>
      <w:r>
        <w:rPr>
          <w:rFonts w:ascii="Times New Roman" w:hAnsi="Times New Roman" w:eastAsia="仿宋_GB2312"/>
          <w:sz w:val="32"/>
          <w:szCs w:val="32"/>
        </w:rPr>
        <w:t>的社会治理共同体。发挥</w:t>
      </w:r>
      <w:r>
        <w:rPr>
          <w:rFonts w:hint="eastAsia" w:ascii="Times New Roman" w:hAnsi="Times New Roman" w:eastAsia="仿宋_GB2312"/>
          <w:sz w:val="32"/>
          <w:szCs w:val="32"/>
        </w:rPr>
        <w:t>社会工作站、</w:t>
      </w:r>
      <w:r>
        <w:rPr>
          <w:rFonts w:ascii="Times New Roman" w:hAnsi="Times New Roman" w:eastAsia="仿宋_GB2312"/>
          <w:sz w:val="32"/>
          <w:szCs w:val="32"/>
        </w:rPr>
        <w:t>群团组织和社会组织在社会治理中的作用，畅通和规范市场主体、新社会阶层、社会工作者和志愿者等参与社会治理途径。深入实施政法“十大工程”，坚持和发展新时代“枫桥经验”，完善信访和社会稳定风险评估制度，健全社会心理服务体系、危机干预和社会矛盾纠纷多元预防调处化解等综合机制。</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强化社会治理能力。</w:t>
      </w:r>
      <w:r>
        <w:rPr>
          <w:rFonts w:ascii="Times New Roman" w:hAnsi="Times New Roman" w:eastAsia="仿宋_GB2312"/>
          <w:sz w:val="32"/>
          <w:szCs w:val="32"/>
        </w:rPr>
        <w:t>全面加强社会治安“打防管控”一体化体系建设，整合升级“雪亮工程”“前哨系统”等平台数据资源，提高社会治安立体化、法治化、专业化、智能化水平，使人民群众安全感和满意度明显提升。加强公共安全风险预测预警预防体系建设。完善城市社区、农村基层治理体系，加强数字治理、智慧社区建设，打造“网络化+网格化”基层社会治理模式升级版，加强村为民服务中心建设，提升村居综治中心实战化运作水平，推动社会治理和服务重心向基层下移。深入推进基层平安创建，优化特殊人群服务管理，巩固扫黑除恶专项斗争成果，落实重大决策社会稳定风险评估，全力维护社会和谐稳定。完成市域社会治理现代化、全省乡村治理试点任务，积极争创全省法治政府建设先进区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60" w:type="dxa"/>
          </w:tcPr>
          <w:p>
            <w:pPr>
              <w:pStyle w:val="4"/>
              <w:jc w:val="center"/>
              <w:rPr>
                <w:rFonts w:ascii="Times New Roman" w:hAnsi="Times New Roman"/>
                <w:b/>
                <w:bCs/>
                <w:color w:val="auto"/>
                <w:sz w:val="32"/>
                <w:szCs w:val="32"/>
              </w:rPr>
            </w:pPr>
            <w:bookmarkStart w:id="79" w:name="_Toc18785"/>
            <w:r>
              <w:rPr>
                <w:rFonts w:ascii="Times New Roman" w:hAnsi="Times New Roman"/>
                <w:b/>
                <w:bCs/>
                <w:color w:val="auto"/>
                <w:sz w:val="32"/>
                <w:szCs w:val="32"/>
              </w:rPr>
              <w:t>专栏19  民生公共服务能力提升工程</w:t>
            </w:r>
            <w:bookmarkEnd w:id="79"/>
          </w:p>
          <w:p>
            <w:pPr>
              <w:pStyle w:val="11"/>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教育</w:t>
            </w:r>
            <w:r>
              <w:rPr>
                <w:rFonts w:ascii="Times New Roman" w:hAnsi="Times New Roman" w:eastAsia="仿宋_GB2312"/>
                <w:sz w:val="28"/>
                <w:szCs w:val="28"/>
              </w:rPr>
              <w:t>。建西溪南镇中心幼儿园琶村园区、潜口镇中心幼儿园，搬迁呈坎镇中心幼儿园，新增城区公办幼儿园1个，有序推进民办幼儿园标准化建设。全区学前教育三年毛入学率达100%，普惠性幼儿园覆盖率达88%，公办幼儿园在园幼儿占比达50%。新建西溪南镇、潜口镇中心学校教师周转房及配套设施项目，加快智慧校园建设。支持文峰学校民办教育。到2025年，小学适龄儿童入学率达100%，九年义务教育巩固率达到100%。借鉴优秀教学理念和模式，共享教育资源，提高学生学业水平和综合素质，提高教师教育教学水平，全面提升办学质量。推进传媒班特色化多样化发展。</w:t>
            </w:r>
          </w:p>
          <w:p>
            <w:pPr>
              <w:pStyle w:val="11"/>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卫生。</w:t>
            </w:r>
            <w:r>
              <w:rPr>
                <w:rFonts w:ascii="Times New Roman" w:hAnsi="Times New Roman" w:eastAsia="仿宋_GB2312"/>
                <w:sz w:val="28"/>
                <w:szCs w:val="28"/>
              </w:rPr>
              <w:t>实施潜口镇中心卫生院、杨村乡卫生院改扩建，区公共卫生应急中心能力建设、基层公共卫生医疗污水处理、黄山新晨医院住院医技楼等项目，完成市三院老年科大楼对外合作，支持黄山新晨医院扩建。</w:t>
            </w:r>
          </w:p>
          <w:p>
            <w:pPr>
              <w:pStyle w:val="11"/>
              <w:ind w:firstLine="562" w:firstLineChars="200"/>
              <w:jc w:val="left"/>
              <w:rPr>
                <w:rFonts w:ascii="Times New Roman" w:hAnsi="Times New Roman" w:eastAsia="仿宋_GB2312"/>
                <w:sz w:val="28"/>
                <w:szCs w:val="28"/>
              </w:rPr>
            </w:pPr>
            <w:r>
              <w:rPr>
                <w:rFonts w:ascii="Times New Roman" w:hAnsi="Times New Roman" w:eastAsia="仿宋_GB2312"/>
                <w:b/>
                <w:bCs/>
                <w:sz w:val="28"/>
                <w:szCs w:val="28"/>
              </w:rPr>
              <w:t>养老。</w:t>
            </w:r>
            <w:r>
              <w:rPr>
                <w:rFonts w:ascii="Times New Roman" w:hAnsi="Times New Roman" w:eastAsia="仿宋_GB2312"/>
                <w:sz w:val="28"/>
                <w:szCs w:val="28"/>
              </w:rPr>
              <w:t>实施徽州区中心养老院提升、乡镇敬老院提升建设、养老服务三级中心（乡镇级示范型居家养老服务中心）、儿童福利（含未成年人救助保护）设施、流浪乞讨人员救助管理设施等建设，大力发展社会化、高端化养老。</w:t>
            </w:r>
          </w:p>
          <w:p>
            <w:pPr>
              <w:pStyle w:val="11"/>
              <w:ind w:firstLine="562" w:firstLineChars="200"/>
              <w:jc w:val="left"/>
              <w:rPr>
                <w:rFonts w:ascii="Times New Roman" w:hAnsi="Times New Roman"/>
                <w:sz w:val="32"/>
                <w:szCs w:val="32"/>
              </w:rPr>
            </w:pPr>
            <w:r>
              <w:rPr>
                <w:rFonts w:ascii="Times New Roman" w:hAnsi="Times New Roman" w:eastAsia="仿宋_GB2312"/>
                <w:b/>
                <w:bCs/>
                <w:sz w:val="28"/>
                <w:szCs w:val="28"/>
              </w:rPr>
              <w:t>社会治理。</w:t>
            </w:r>
            <w:r>
              <w:rPr>
                <w:rFonts w:ascii="Times New Roman" w:hAnsi="Times New Roman" w:eastAsia="仿宋_GB2312"/>
                <w:sz w:val="28"/>
                <w:szCs w:val="28"/>
              </w:rPr>
              <w:t>实施徽州公安分局战训基地、公安分局执法办案管理中心和岩寺、呈坎、潜口派出所建设，提高综合警务信息化、单兵警务能力提升。</w:t>
            </w:r>
          </w:p>
        </w:tc>
      </w:tr>
    </w:tbl>
    <w:p>
      <w:pPr>
        <w:pStyle w:val="2"/>
        <w:jc w:val="center"/>
        <w:rPr>
          <w:rFonts w:ascii="Times New Roman" w:hAnsi="Times New Roman" w:eastAsia="黑体"/>
          <w:b w:val="0"/>
          <w:bCs/>
          <w:sz w:val="36"/>
          <w:szCs w:val="36"/>
        </w:rPr>
      </w:pPr>
      <w:bookmarkStart w:id="80" w:name="_Toc19703"/>
      <w:r>
        <w:rPr>
          <w:rFonts w:ascii="Times New Roman" w:hAnsi="Times New Roman" w:eastAsia="黑体"/>
          <w:b w:val="0"/>
          <w:bCs/>
          <w:sz w:val="36"/>
          <w:szCs w:val="36"/>
        </w:rPr>
        <w:t>第十四章  坚持统筹发展和安全  建设更高水平的平安徽州</w:t>
      </w:r>
      <w:bookmarkEnd w:id="80"/>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坚持总体国家安全观，统筹传统安全和非传统安全，把安全发展贯穿区域发展的各领域和全过程，坚决打好防范化解重大风险攻坚战，努力建设更高水平的平安徽州。</w:t>
      </w:r>
    </w:p>
    <w:p>
      <w:pPr>
        <w:pStyle w:val="3"/>
        <w:jc w:val="center"/>
        <w:rPr>
          <w:rFonts w:ascii="Times New Roman" w:hAnsi="Times New Roman" w:eastAsia="楷体_GB2312"/>
          <w:sz w:val="36"/>
          <w:szCs w:val="36"/>
        </w:rPr>
      </w:pPr>
      <w:bookmarkStart w:id="81" w:name="_Toc3960"/>
      <w:r>
        <w:rPr>
          <w:rFonts w:ascii="Times New Roman" w:hAnsi="Times New Roman" w:eastAsia="楷体_GB2312"/>
          <w:sz w:val="36"/>
          <w:szCs w:val="36"/>
        </w:rPr>
        <w:t>第一节  加强国家安全体系和能力建设</w:t>
      </w:r>
      <w:bookmarkEnd w:id="81"/>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坚持政治安全、人民安全、国家利益至上有机统一，以人民安全为宗旨，以政治安全为根本，以经济安全为基础，全面推进国家安全体系和能力建设重点任务落实。</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完善国家安全体系。</w:t>
      </w:r>
      <w:r>
        <w:rPr>
          <w:rFonts w:ascii="Times New Roman" w:hAnsi="Times New Roman" w:eastAsia="仿宋_GB2312"/>
          <w:sz w:val="32"/>
          <w:szCs w:val="32"/>
        </w:rPr>
        <w:t>认真贯彻《关于新时代加强国家安全体系和能力建设的意见》，完善集中统一、高效权威的国家安全领导体系，健全完善国家安全风险研判、防控协同防范化解机制和国家安全审查</w:t>
      </w:r>
      <w:r>
        <w:rPr>
          <w:rFonts w:hint="eastAsia" w:ascii="Times New Roman" w:hAnsi="Times New Roman" w:eastAsia="仿宋_GB2312"/>
          <w:sz w:val="32"/>
          <w:szCs w:val="32"/>
        </w:rPr>
        <w:t>、</w:t>
      </w:r>
      <w:r>
        <w:rPr>
          <w:rFonts w:ascii="Times New Roman" w:hAnsi="Times New Roman" w:eastAsia="仿宋_GB2312"/>
          <w:sz w:val="32"/>
          <w:szCs w:val="32"/>
        </w:rPr>
        <w:t>监管制度，把维护国家政治安全特别是政权安全、制度安全放在第一位，严密防范和严厉打击敌对势力渗透、破坏、颠覆、分裂活动。落实意识形态工作责任制，加强意识形态阵地建设和管理，强化网络安全保障，加大新型领域安全。加强国家安全宣传教育和保密工作，增强全民国家安全和保密意识，巩固国家安全人民防线。</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提高国防动员能力。</w:t>
      </w:r>
      <w:r>
        <w:rPr>
          <w:rFonts w:ascii="Times New Roman" w:hAnsi="Times New Roman" w:eastAsia="仿宋_GB2312"/>
          <w:sz w:val="32"/>
          <w:szCs w:val="32"/>
        </w:rPr>
        <w:t>支持国防和军队建设，健全党委议军会、“军事日”等制度，做好春秋季征兵、军事设施保护、拥军优属工作。加强区人武部和乡镇基层武装部建设，做好退役军人安置和管理，常态化开展基干民兵集训，壮大后备役力量队伍，推进基层武装力量与应急救灾力量融合发展。加大人防基础设施建设，完善区人防地面指挥中心能力，建设城区和重要目标人防工程，推动人防工程与公共应急工程功能衔接。加强全民国防教育，广泛开展双拥共建，继续争创双拥模范城市、单位。</w:t>
      </w:r>
    </w:p>
    <w:p>
      <w:pPr>
        <w:pStyle w:val="3"/>
        <w:jc w:val="center"/>
        <w:rPr>
          <w:rFonts w:ascii="Times New Roman" w:hAnsi="Times New Roman" w:eastAsia="楷体_GB2312"/>
          <w:sz w:val="36"/>
          <w:szCs w:val="36"/>
        </w:rPr>
      </w:pPr>
      <w:bookmarkStart w:id="82" w:name="_Toc32728"/>
      <w:r>
        <w:rPr>
          <w:rFonts w:ascii="Times New Roman" w:hAnsi="Times New Roman" w:eastAsia="楷体_GB2312"/>
          <w:sz w:val="36"/>
          <w:szCs w:val="36"/>
        </w:rPr>
        <w:t>第二节  确保经济运行安全</w:t>
      </w:r>
      <w:bookmarkEnd w:id="82"/>
    </w:p>
    <w:p>
      <w:pPr>
        <w:ind w:firstLine="640" w:firstLineChars="200"/>
        <w:rPr>
          <w:rFonts w:ascii="Times New Roman" w:hAnsi="Times New Roman" w:eastAsia="仿宋_GB2312"/>
          <w:sz w:val="32"/>
          <w:szCs w:val="32"/>
        </w:rPr>
      </w:pPr>
      <w:r>
        <w:rPr>
          <w:rFonts w:ascii="Times New Roman" w:hAnsi="Times New Roman" w:eastAsia="仿宋_GB2312"/>
          <w:sz w:val="32"/>
          <w:szCs w:val="32"/>
        </w:rPr>
        <w:t>加强经济安全风险监测预警防控能力建设，强化跨部门跨行业联防联控，增强产业体系抗冲击能力。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加强粮食安全。</w:t>
      </w:r>
      <w:r>
        <w:rPr>
          <w:rFonts w:ascii="Times New Roman" w:hAnsi="Times New Roman" w:eastAsia="仿宋_GB2312"/>
          <w:sz w:val="32"/>
          <w:szCs w:val="32"/>
        </w:rPr>
        <w:t>坚持党政同责，强化粮食省长负责制，严守耕地红线和永久基本农田控制线，严控耕地</w:t>
      </w:r>
      <w:r>
        <w:rPr>
          <w:rFonts w:hint="eastAsia" w:ascii="Times New Roman" w:hAnsi="Times New Roman" w:eastAsia="仿宋_GB2312"/>
          <w:sz w:val="32"/>
          <w:szCs w:val="32"/>
        </w:rPr>
        <w:t>“非农化”“非粮化”</w:t>
      </w:r>
      <w:r>
        <w:rPr>
          <w:rFonts w:ascii="Times New Roman" w:hAnsi="Times New Roman" w:eastAsia="仿宋_GB2312"/>
          <w:sz w:val="32"/>
          <w:szCs w:val="32"/>
        </w:rPr>
        <w:t>，稳定粮食播种面积，增加粮食产量。加强区粮食储备库建设，完善存储管理设施，做好政策性粮食收储，加强陈化粮处置监管，健全区乡</w:t>
      </w:r>
      <w:r>
        <w:rPr>
          <w:rFonts w:hint="eastAsia" w:ascii="Times New Roman" w:hAnsi="Times New Roman" w:eastAsia="仿宋_GB2312"/>
          <w:sz w:val="32"/>
          <w:szCs w:val="32"/>
        </w:rPr>
        <w:t>（</w:t>
      </w:r>
      <w:r>
        <w:rPr>
          <w:rFonts w:ascii="Times New Roman" w:hAnsi="Times New Roman" w:eastAsia="仿宋_GB2312"/>
          <w:sz w:val="32"/>
          <w:szCs w:val="32"/>
        </w:rPr>
        <w:t>镇</w:t>
      </w:r>
      <w:r>
        <w:rPr>
          <w:rFonts w:hint="eastAsia" w:ascii="Times New Roman" w:hAnsi="Times New Roman" w:eastAsia="仿宋_GB2312"/>
          <w:sz w:val="32"/>
          <w:szCs w:val="32"/>
        </w:rPr>
        <w:t>）</w:t>
      </w:r>
      <w:r>
        <w:rPr>
          <w:rFonts w:ascii="Times New Roman" w:hAnsi="Times New Roman" w:eastAsia="仿宋_GB2312"/>
          <w:sz w:val="32"/>
          <w:szCs w:val="32"/>
        </w:rPr>
        <w:t>村三级粮食应急保障供应体系，确保粮食和供应保障安全。</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加强能源安全。</w:t>
      </w:r>
      <w:r>
        <w:rPr>
          <w:rFonts w:ascii="Times New Roman" w:hAnsi="Times New Roman" w:eastAsia="仿宋_GB2312"/>
          <w:sz w:val="32"/>
          <w:szCs w:val="32"/>
        </w:rPr>
        <w:t>加强电力供应保障，推进城区高荷载路线扩容和农村电网升级，完善供电设施管护，新增园区和重点区域供电线路，改造新增2座变电站。加强天然气长输管线、城市燃气管网保护和延伸，保障园区重点企业、城市小区、重点项目用气所需，提高园区集中供热管网布局。维护好水利、电力、供水、交通、通信、网终等重要基础设施安全。</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加大金融安全。</w:t>
      </w:r>
      <w:r>
        <w:rPr>
          <w:rFonts w:ascii="Times New Roman" w:hAnsi="Times New Roman" w:eastAsia="仿宋_GB2312"/>
          <w:sz w:val="32"/>
          <w:szCs w:val="32"/>
        </w:rPr>
        <w:t>打好防范重大金融风险攻坚战，强化互联网金融风险专项整治，严厉打击非法集资等金融活动，建立健全市场化、法治化的金融风险处置机制。强化债务风险监管水平和风险防控能力，妥善处置政府隐性债务，</w:t>
      </w:r>
      <w:r>
        <w:rPr>
          <w:rFonts w:hint="eastAsia" w:ascii="Times New Roman" w:hAnsi="Times New Roman" w:eastAsia="仿宋_GB2312"/>
          <w:sz w:val="32"/>
          <w:szCs w:val="32"/>
        </w:rPr>
        <w:t>积极争取</w:t>
      </w:r>
      <w:r>
        <w:rPr>
          <w:rFonts w:ascii="Times New Roman" w:hAnsi="Times New Roman" w:eastAsia="仿宋_GB2312"/>
          <w:sz w:val="32"/>
          <w:szCs w:val="32"/>
        </w:rPr>
        <w:t>中央预算内、省级补助和地方政府专项债</w:t>
      </w:r>
      <w:r>
        <w:rPr>
          <w:rFonts w:hint="eastAsia" w:ascii="Times New Roman" w:hAnsi="Times New Roman" w:eastAsia="仿宋_GB2312"/>
          <w:sz w:val="32"/>
          <w:szCs w:val="32"/>
        </w:rPr>
        <w:t>资金</w:t>
      </w:r>
      <w:r>
        <w:rPr>
          <w:rFonts w:ascii="Times New Roman" w:hAnsi="Times New Roman" w:eastAsia="仿宋_GB2312"/>
          <w:sz w:val="32"/>
          <w:szCs w:val="32"/>
        </w:rPr>
        <w:t>，坚决守住不发生系统性金融风险底线。</w:t>
      </w:r>
    </w:p>
    <w:p>
      <w:pPr>
        <w:pStyle w:val="3"/>
        <w:jc w:val="center"/>
        <w:rPr>
          <w:rFonts w:ascii="Times New Roman" w:hAnsi="Times New Roman" w:eastAsia="楷体_GB2312"/>
          <w:sz w:val="36"/>
          <w:szCs w:val="36"/>
        </w:rPr>
      </w:pPr>
      <w:bookmarkStart w:id="83" w:name="_Toc26623"/>
      <w:r>
        <w:rPr>
          <w:rFonts w:ascii="Times New Roman" w:hAnsi="Times New Roman" w:eastAsia="楷体_GB2312"/>
          <w:sz w:val="36"/>
          <w:szCs w:val="36"/>
        </w:rPr>
        <w:t>第三节  保障人民生命安全</w:t>
      </w:r>
      <w:bookmarkEnd w:id="83"/>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坚持人民至上、生命至上，把保护人民生命安全摆在首位，健全公共安全隐患排查和安全预防控制体系，全面提高公共安全保障能力。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严格落实安全生产。</w:t>
      </w:r>
      <w:r>
        <w:rPr>
          <w:rFonts w:ascii="Times New Roman" w:hAnsi="Times New Roman" w:eastAsia="仿宋_GB2312"/>
          <w:sz w:val="32"/>
          <w:szCs w:val="32"/>
        </w:rPr>
        <w:t>完善</w:t>
      </w:r>
      <w:r>
        <w:rPr>
          <w:rFonts w:hint="eastAsia" w:ascii="Times New Roman" w:hAnsi="Times New Roman" w:eastAsia="仿宋_GB2312"/>
          <w:sz w:val="32"/>
          <w:szCs w:val="32"/>
        </w:rPr>
        <w:t>“</w:t>
      </w:r>
      <w:r>
        <w:rPr>
          <w:rFonts w:ascii="Times New Roman" w:hAnsi="Times New Roman" w:eastAsia="仿宋_GB2312"/>
          <w:sz w:val="32"/>
          <w:szCs w:val="32"/>
        </w:rPr>
        <w:t>党政同责、一岗双责、齐抓共管、失职追责</w:t>
      </w:r>
      <w:r>
        <w:rPr>
          <w:rFonts w:hint="eastAsia" w:ascii="Times New Roman" w:hAnsi="Times New Roman" w:eastAsia="仿宋_GB2312"/>
          <w:sz w:val="32"/>
          <w:szCs w:val="32"/>
        </w:rPr>
        <w:t>”</w:t>
      </w:r>
      <w:r>
        <w:rPr>
          <w:rFonts w:ascii="Times New Roman" w:hAnsi="Times New Roman" w:eastAsia="仿宋_GB2312"/>
          <w:sz w:val="32"/>
          <w:szCs w:val="32"/>
        </w:rPr>
        <w:t>的安全生产责任体系，推进“铸安”行动常态化实效化和风险管控“六项机制”制度化规范化，加强重大危险源、重大消防安全隐患点和高危行业领域安全监管、安全整治，有效遏制危险化学品、非煤矿山、建筑施工、交通安全等重特大安全事故。完善建设项目安全“三同时”评价制度，严格落实企业安全生产主体责任制。</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提升安全监管水平。</w:t>
      </w:r>
      <w:r>
        <w:rPr>
          <w:rFonts w:ascii="Times New Roman" w:hAnsi="Times New Roman" w:eastAsia="仿宋_GB2312"/>
          <w:sz w:val="32"/>
          <w:szCs w:val="32"/>
        </w:rPr>
        <w:t>强化生物安全保护宣传，禁食野生动物，杜绝外来生物入侵。开展食品安全放心工程攻坚行动，强化生产、经营、使用日常监管，完善食品药品质量安全追溯体系，提升自然灾害防御工程标准，推进病险塘库除险加固工程，健全地质灾害防治体系，加强山区切坡建房专项治理，强化森林防火、防灾减灾工作，健全应急救援保障队伍，保障古民居古建筑消防安全和人民群众生命财产、生态安全。加强社会共治、全民参与，完善有奖举报制度。</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加强预警应急体系建设。</w:t>
      </w:r>
      <w:r>
        <w:rPr>
          <w:rFonts w:ascii="Times New Roman" w:hAnsi="Times New Roman" w:eastAsia="仿宋_GB2312"/>
          <w:sz w:val="32"/>
          <w:szCs w:val="32"/>
        </w:rPr>
        <w:t>强化突发公共事件预防预警和应急处置能力，动态完善专项预案。加强重点风险监测队伍建设，完善区乡</w:t>
      </w:r>
      <w:r>
        <w:rPr>
          <w:rFonts w:hint="eastAsia" w:ascii="Times New Roman" w:hAnsi="Times New Roman" w:eastAsia="仿宋_GB2312"/>
          <w:sz w:val="32"/>
          <w:szCs w:val="32"/>
        </w:rPr>
        <w:t>（</w:t>
      </w:r>
      <w:r>
        <w:rPr>
          <w:rFonts w:ascii="Times New Roman" w:hAnsi="Times New Roman" w:eastAsia="仿宋_GB2312"/>
          <w:sz w:val="32"/>
          <w:szCs w:val="32"/>
        </w:rPr>
        <w:t>镇</w:t>
      </w:r>
      <w:r>
        <w:rPr>
          <w:rFonts w:hint="eastAsia" w:ascii="Times New Roman" w:hAnsi="Times New Roman" w:eastAsia="仿宋_GB2312"/>
          <w:sz w:val="32"/>
          <w:szCs w:val="32"/>
        </w:rPr>
        <w:t>）</w:t>
      </w:r>
      <w:r>
        <w:rPr>
          <w:rFonts w:ascii="Times New Roman" w:hAnsi="Times New Roman" w:eastAsia="仿宋_GB2312"/>
          <w:sz w:val="32"/>
          <w:szCs w:val="32"/>
        </w:rPr>
        <w:t>村全覆盖的预警系统。加强区应急指挥中心平台信息化建设、智能化运用，积极整合利用防汛抗旱、森林防火和气象、地震等平台，提高防灾、减灾、抗灾和救灾综合应急处</w:t>
      </w:r>
      <w:r>
        <w:rPr>
          <w:rFonts w:hint="eastAsia" w:ascii="Times New Roman" w:hAnsi="Times New Roman" w:eastAsia="仿宋_GB2312"/>
          <w:sz w:val="32"/>
          <w:szCs w:val="32"/>
        </w:rPr>
        <w:t>置</w:t>
      </w:r>
      <w:r>
        <w:rPr>
          <w:rFonts w:ascii="Times New Roman" w:hAnsi="Times New Roman" w:eastAsia="仿宋_GB2312"/>
          <w:sz w:val="32"/>
          <w:szCs w:val="32"/>
        </w:rPr>
        <w:t>能力。新建黄山市消防战勤保障暨徽州区循环园消防站，加强应急物资保障建设，建成常备常新、统一管理、统一调度的应急储备库。</w:t>
      </w: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11"/>
        <w:ind w:firstLine="320"/>
        <w:rPr>
          <w:rFonts w:ascii="Times New Roman" w:hAnsi="Times New Roman" w:eastAsia="仿宋_GB2312"/>
          <w:sz w:val="32"/>
          <w:szCs w:val="32"/>
        </w:rPr>
      </w:pPr>
    </w:p>
    <w:p>
      <w:pPr>
        <w:pStyle w:val="2"/>
        <w:jc w:val="center"/>
        <w:rPr>
          <w:rFonts w:ascii="Times New Roman" w:hAnsi="Times New Roman" w:eastAsia="黑体"/>
          <w:b w:val="0"/>
          <w:bCs/>
          <w:sz w:val="36"/>
          <w:szCs w:val="36"/>
        </w:rPr>
      </w:pPr>
      <w:bookmarkStart w:id="84" w:name="_Toc8426"/>
      <w:r>
        <w:rPr>
          <w:rFonts w:ascii="Times New Roman" w:hAnsi="Times New Roman" w:eastAsia="黑体"/>
          <w:b w:val="0"/>
          <w:bCs/>
          <w:sz w:val="36"/>
          <w:szCs w:val="36"/>
        </w:rPr>
        <w:t xml:space="preserve">第十五章  坚持弘扬法治精神  </w:t>
      </w:r>
      <w:r>
        <w:rPr>
          <w:rFonts w:hint="eastAsia" w:ascii="Times New Roman" w:hAnsi="Times New Roman" w:eastAsia="黑体"/>
          <w:b w:val="0"/>
          <w:bCs/>
          <w:sz w:val="36"/>
          <w:szCs w:val="36"/>
        </w:rPr>
        <w:t>一体化推进法治徽州、法治政府、法治社会建设</w:t>
      </w:r>
      <w:bookmarkEnd w:id="84"/>
    </w:p>
    <w:p>
      <w:pPr>
        <w:ind w:firstLine="640" w:firstLineChars="200"/>
        <w:rPr>
          <w:rFonts w:ascii="Times New Roman" w:hAnsi="Times New Roman" w:eastAsia="仿宋_GB2312"/>
          <w:sz w:val="32"/>
          <w:szCs w:val="32"/>
        </w:rPr>
      </w:pPr>
      <w:r>
        <w:rPr>
          <w:rFonts w:ascii="Times New Roman" w:hAnsi="Times New Roman" w:eastAsia="仿宋_GB2312"/>
          <w:sz w:val="32"/>
          <w:szCs w:val="32"/>
        </w:rPr>
        <w:t>以习近平法治思想为统领，全面推进法治徽州建设，坚持依法治区、依法执政、依法行政共同推进，法治徽州、法治政府、法治社会一体化建设，加快政府职能转变，深化司法配套改革，推进全民守法，在公平正义的法治环境和法治轨道上推进富裕和谐美丽</w:t>
      </w:r>
      <w:r>
        <w:rPr>
          <w:rFonts w:hint="eastAsia" w:ascii="Times New Roman" w:hAnsi="Times New Roman" w:eastAsia="仿宋_GB2312"/>
          <w:sz w:val="32"/>
          <w:szCs w:val="32"/>
        </w:rPr>
        <w:t>现代化</w:t>
      </w:r>
      <w:r>
        <w:rPr>
          <w:rFonts w:ascii="Times New Roman" w:hAnsi="Times New Roman" w:eastAsia="仿宋_GB2312"/>
          <w:sz w:val="32"/>
          <w:szCs w:val="32"/>
        </w:rPr>
        <w:t>新徽州建设。</w:t>
      </w:r>
    </w:p>
    <w:p>
      <w:pPr>
        <w:pStyle w:val="3"/>
        <w:jc w:val="center"/>
        <w:rPr>
          <w:rFonts w:ascii="Times New Roman" w:hAnsi="Times New Roman" w:eastAsia="楷体_GB2312"/>
          <w:sz w:val="36"/>
          <w:szCs w:val="36"/>
        </w:rPr>
      </w:pPr>
      <w:bookmarkStart w:id="85" w:name="_Toc2682"/>
      <w:r>
        <w:rPr>
          <w:rFonts w:ascii="Times New Roman" w:hAnsi="Times New Roman" w:eastAsia="楷体_GB2312"/>
          <w:sz w:val="36"/>
          <w:szCs w:val="36"/>
        </w:rPr>
        <w:t>第一节  推进法治政府建设</w:t>
      </w:r>
      <w:bookmarkEnd w:id="85"/>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切实履行法治建设第一责任人职责，</w:t>
      </w:r>
      <w:r>
        <w:rPr>
          <w:rFonts w:ascii="Times New Roman" w:hAnsi="Times New Roman" w:eastAsia="仿宋_GB2312"/>
          <w:sz w:val="32"/>
          <w:szCs w:val="32"/>
        </w:rPr>
        <w:t>用法治给行政权力定规矩、划界限，规范行政决策程序，加快转变政府职能，推进治理能力和治理水平与经济发展相适应。把政府工作全面纳入法治轨道，确保行政权在法治框架内运行，实现政府治理与社会</w:t>
      </w:r>
      <w:r>
        <w:rPr>
          <w:rFonts w:hint="eastAsia" w:ascii="Times New Roman" w:hAnsi="Times New Roman" w:eastAsia="仿宋_GB2312"/>
          <w:sz w:val="32"/>
          <w:szCs w:val="32"/>
        </w:rPr>
        <w:t>协同</w:t>
      </w:r>
      <w:r>
        <w:rPr>
          <w:rFonts w:ascii="Times New Roman" w:hAnsi="Times New Roman" w:eastAsia="仿宋_GB2312"/>
          <w:sz w:val="32"/>
          <w:szCs w:val="32"/>
        </w:rPr>
        <w:t>、居民自治良性互动。坚持依法行政、全面履职，推进职能、权限、程序、责任法定化、清单化，健全科学民主依法决策机制，加强合法性审查，及时做好政策规章的废改立。深化行政执法体制改革，有序推进行政权力委托赋权下放，推进区级综合行政执法，落实乡镇一支队伍执法。实施行政复议体制改革，全面落实行政裁量权基准制度。加强行政权力的制约和监管，推进党</w:t>
      </w:r>
      <w:r>
        <w:rPr>
          <w:rFonts w:hint="eastAsia" w:ascii="Times New Roman" w:hAnsi="Times New Roman" w:eastAsia="仿宋_GB2312"/>
          <w:sz w:val="32"/>
          <w:szCs w:val="32"/>
        </w:rPr>
        <w:t>内</w:t>
      </w:r>
      <w:r>
        <w:rPr>
          <w:rFonts w:ascii="Times New Roman" w:hAnsi="Times New Roman" w:eastAsia="仿宋_GB2312"/>
          <w:sz w:val="32"/>
          <w:szCs w:val="32"/>
        </w:rPr>
        <w:t>监督、人大监督、民主监督、行政监督、司法监督、审计监督、</w:t>
      </w:r>
      <w:r>
        <w:rPr>
          <w:rFonts w:hint="eastAsia" w:ascii="Times New Roman" w:hAnsi="Times New Roman" w:eastAsia="仿宋_GB2312"/>
          <w:sz w:val="32"/>
          <w:szCs w:val="32"/>
        </w:rPr>
        <w:t>统计监督、</w:t>
      </w:r>
      <w:r>
        <w:rPr>
          <w:rFonts w:ascii="Times New Roman" w:hAnsi="Times New Roman" w:eastAsia="仿宋_GB2312"/>
          <w:sz w:val="32"/>
          <w:szCs w:val="32"/>
        </w:rPr>
        <w:t>社会监督、舆论监督共同发挥作用。加强和创新事中事后监管体系建设，建立健全行政权力、行政执法全过程廉政风险防控。</w:t>
      </w:r>
    </w:p>
    <w:p>
      <w:pPr>
        <w:pStyle w:val="3"/>
        <w:jc w:val="center"/>
        <w:rPr>
          <w:rFonts w:ascii="Times New Roman" w:hAnsi="Times New Roman" w:eastAsia="楷体_GB2312"/>
          <w:sz w:val="36"/>
          <w:szCs w:val="36"/>
        </w:rPr>
      </w:pPr>
      <w:bookmarkStart w:id="86" w:name="_Toc6019"/>
      <w:r>
        <w:rPr>
          <w:rFonts w:ascii="Times New Roman" w:hAnsi="Times New Roman" w:eastAsia="楷体_GB2312"/>
          <w:sz w:val="36"/>
          <w:szCs w:val="36"/>
        </w:rPr>
        <w:t>第二节  推进司法公正高效权威</w:t>
      </w:r>
      <w:bookmarkEnd w:id="86"/>
    </w:p>
    <w:p>
      <w:pPr>
        <w:ind w:firstLine="640" w:firstLineChars="200"/>
        <w:rPr>
          <w:rFonts w:ascii="Times New Roman" w:hAnsi="Times New Roman" w:eastAsia="仿宋_GB2312"/>
          <w:sz w:val="32"/>
          <w:szCs w:val="32"/>
        </w:rPr>
      </w:pPr>
      <w:r>
        <w:rPr>
          <w:rFonts w:ascii="Times New Roman" w:hAnsi="Times New Roman" w:eastAsia="仿宋_GB2312"/>
          <w:sz w:val="32"/>
          <w:szCs w:val="32"/>
        </w:rPr>
        <w:t>继续推进法治领域改革，深化司法责任制综合配套改革，加强司法制约监督体系改革和建设，健全社会公平正义法治保障制度。健全公安、检察、审判、司法行政机关各司其职，侦查权、检察权、审判权、执行权相互分工负责、制约的体制机制。深化以审判为中心的刑事诉讼制度改革，完善民事诉讼相关制度，深化执行体制改革，加强“执行难”综合治理、源头治理。拓展公益诉讼案件范围，完善案件公开听证制度。</w:t>
      </w:r>
    </w:p>
    <w:p>
      <w:pPr>
        <w:pStyle w:val="3"/>
        <w:jc w:val="center"/>
        <w:rPr>
          <w:rFonts w:ascii="Times New Roman" w:hAnsi="Times New Roman" w:eastAsia="楷体_GB2312"/>
          <w:sz w:val="36"/>
          <w:szCs w:val="36"/>
        </w:rPr>
      </w:pPr>
      <w:bookmarkStart w:id="87" w:name="_Toc16169"/>
      <w:r>
        <w:rPr>
          <w:rFonts w:ascii="Times New Roman" w:hAnsi="Times New Roman" w:eastAsia="楷体_GB2312"/>
          <w:sz w:val="36"/>
          <w:szCs w:val="36"/>
        </w:rPr>
        <w:t>第三节  推进全民守法意识</w:t>
      </w:r>
      <w:bookmarkEnd w:id="87"/>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大力弘扬社会主义法治精神，推进全社会尊法学法守法用法。积极实施“八五”普法，加强法治宣传，全面落实“谁执法谁普法”的普法责任制。增强普法工作的针对性和实效性，重点加强国家公务人员、领导干部和青少年的普法。加强法治文化建设，开展群众性的法治文化活动，建设一批法治宣传长廊。加强法治创建力度，建设一批法治示范乡镇、示范村、示范社区、示范校园。完善公益性法律服务体系，加大公德失信、诚信缺失违法行为联合惩处力度</w:t>
      </w:r>
      <w:r>
        <w:rPr>
          <w:rFonts w:hint="eastAsia" w:ascii="Times New Roman" w:hAnsi="Times New Roman" w:eastAsia="仿宋_GB2312"/>
          <w:sz w:val="32"/>
          <w:szCs w:val="32"/>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9" w:hRule="atLeast"/>
        </w:trPr>
        <w:tc>
          <w:tcPr>
            <w:tcW w:w="9174" w:type="dxa"/>
          </w:tcPr>
          <w:p>
            <w:pPr>
              <w:pStyle w:val="4"/>
              <w:jc w:val="center"/>
              <w:rPr>
                <w:rFonts w:ascii="Times New Roman" w:hAnsi="Times New Roman"/>
                <w:b/>
                <w:bCs/>
                <w:color w:val="auto"/>
                <w:sz w:val="32"/>
                <w:szCs w:val="32"/>
              </w:rPr>
            </w:pPr>
            <w:bookmarkStart w:id="88" w:name="_Toc6181"/>
            <w:r>
              <w:rPr>
                <w:rFonts w:ascii="Times New Roman" w:hAnsi="Times New Roman"/>
                <w:b/>
                <w:bCs/>
                <w:color w:val="auto"/>
                <w:sz w:val="32"/>
                <w:szCs w:val="32"/>
              </w:rPr>
              <w:t>专栏20  法治示范创建提升工程</w:t>
            </w:r>
            <w:bookmarkEnd w:id="88"/>
          </w:p>
          <w:p>
            <w:pPr>
              <w:pStyle w:val="11"/>
              <w:ind w:firstLine="560" w:firstLineChars="200"/>
              <w:jc w:val="left"/>
              <w:rPr>
                <w:rFonts w:ascii="Times New Roman" w:hAnsi="Times New Roman"/>
                <w:sz w:val="32"/>
                <w:szCs w:val="32"/>
              </w:rPr>
            </w:pPr>
            <w:r>
              <w:rPr>
                <w:rFonts w:ascii="Times New Roman" w:hAnsi="Times New Roman" w:eastAsia="仿宋_GB2312"/>
                <w:sz w:val="28"/>
                <w:szCs w:val="28"/>
              </w:rPr>
              <w:t>积极实施“八五”普法，重点加强国家公务人员、领导干部和青少年的普法。开展省级乡村治理示范县、乡（镇）、村三级联创。到2022年，创成省级乡村治理示范区，创建省级乡村治理示范镇1个、示范村7个。开展乡村振兴试点示范创建，到2023年，创建20个乡村振兴精品示范村。建成一批法治宣传长廊和示范社区、示范校园。</w:t>
            </w:r>
          </w:p>
        </w:tc>
      </w:tr>
    </w:tbl>
    <w:p>
      <w:pPr>
        <w:ind w:firstLine="640" w:firstLineChars="200"/>
        <w:rPr>
          <w:rFonts w:ascii="Times New Roman" w:hAnsi="Times New Roman" w:eastAsia="仿宋_GB2312"/>
          <w:sz w:val="32"/>
          <w:szCs w:val="32"/>
        </w:rPr>
      </w:pPr>
    </w:p>
    <w:p>
      <w:pPr>
        <w:pStyle w:val="2"/>
        <w:jc w:val="center"/>
        <w:rPr>
          <w:rFonts w:ascii="Times New Roman" w:hAnsi="Times New Roman" w:eastAsia="黑体"/>
          <w:b w:val="0"/>
          <w:bCs/>
          <w:sz w:val="36"/>
          <w:szCs w:val="36"/>
        </w:rPr>
      </w:pPr>
      <w:bookmarkStart w:id="89" w:name="_Toc10461"/>
      <w:r>
        <w:rPr>
          <w:rFonts w:ascii="Times New Roman" w:hAnsi="Times New Roman" w:eastAsia="黑体"/>
          <w:b w:val="0"/>
          <w:bCs/>
          <w:sz w:val="36"/>
          <w:szCs w:val="36"/>
        </w:rPr>
        <w:t>第十六章  坚持党的全面领导  强化措施确保规划目标顺利实现</w:t>
      </w:r>
      <w:bookmarkEnd w:id="89"/>
    </w:p>
    <w:p>
      <w:pPr>
        <w:ind w:firstLine="640" w:firstLineChars="200"/>
        <w:rPr>
          <w:rFonts w:ascii="Times New Roman" w:hAnsi="Times New Roman" w:eastAsia="仿宋_GB2312"/>
          <w:sz w:val="32"/>
          <w:szCs w:val="32"/>
        </w:rPr>
      </w:pPr>
      <w:r>
        <w:rPr>
          <w:rFonts w:ascii="Times New Roman" w:hAnsi="Times New Roman" w:eastAsia="仿宋_GB2312"/>
          <w:sz w:val="32"/>
          <w:szCs w:val="32"/>
        </w:rPr>
        <w:t>坚持党的全面领导，坚持并完善党领导经济社会发展的体制机制，充分调</w:t>
      </w:r>
      <w:r>
        <w:rPr>
          <w:rFonts w:hint="eastAsia" w:ascii="Times New Roman" w:hAnsi="Times New Roman" w:eastAsia="仿宋_GB2312"/>
          <w:sz w:val="32"/>
          <w:szCs w:val="32"/>
        </w:rPr>
        <w:t>动</w:t>
      </w:r>
      <w:r>
        <w:rPr>
          <w:rFonts w:ascii="Times New Roman" w:hAnsi="Times New Roman" w:eastAsia="仿宋_GB2312"/>
          <w:sz w:val="32"/>
          <w:szCs w:val="32"/>
        </w:rPr>
        <w:t>一切积极因素，广泛团结一切可以团结的力度，形成推进高质量发展的强大合力。</w:t>
      </w:r>
    </w:p>
    <w:p>
      <w:pPr>
        <w:pStyle w:val="3"/>
        <w:jc w:val="center"/>
        <w:rPr>
          <w:rFonts w:ascii="Times New Roman" w:hAnsi="Times New Roman" w:eastAsia="楷体_GB2312"/>
          <w:sz w:val="36"/>
          <w:szCs w:val="36"/>
        </w:rPr>
      </w:pPr>
      <w:bookmarkStart w:id="90" w:name="_Toc16737"/>
      <w:r>
        <w:rPr>
          <w:rFonts w:ascii="Times New Roman" w:hAnsi="Times New Roman" w:eastAsia="楷体_GB2312"/>
          <w:sz w:val="36"/>
          <w:szCs w:val="36"/>
        </w:rPr>
        <w:t>第一节  坚持和加强党的全面领导</w:t>
      </w:r>
      <w:bookmarkEnd w:id="90"/>
    </w:p>
    <w:p>
      <w:pPr>
        <w:ind w:firstLine="640" w:firstLineChars="200"/>
        <w:rPr>
          <w:rFonts w:ascii="Times New Roman" w:hAnsi="Times New Roman" w:eastAsia="仿宋_GB2312"/>
          <w:sz w:val="32"/>
          <w:szCs w:val="32"/>
        </w:rPr>
      </w:pPr>
      <w:r>
        <w:rPr>
          <w:rFonts w:ascii="Times New Roman" w:hAnsi="Times New Roman" w:eastAsia="仿宋_GB2312"/>
          <w:sz w:val="32"/>
          <w:szCs w:val="32"/>
        </w:rPr>
        <w:t>贯彻新时代党的建设总要求，强化把方向、谋大局、定政策、促改革的能力和定力。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发挥党总揽全局、协调各方的领导核心作用</w:t>
      </w:r>
      <w:r>
        <w:rPr>
          <w:rFonts w:ascii="Times New Roman" w:hAnsi="Times New Roman" w:eastAsia="仿宋_GB2312"/>
          <w:sz w:val="32"/>
          <w:szCs w:val="32"/>
        </w:rPr>
        <w:t>。完善上下贯通、执行有力的组织体系，巩固深化“不忘初心、牢记使命”主题教育成果，推进全区广大党员、干部增强“四个意识”、坚定“四个自信”</w:t>
      </w:r>
      <w:r>
        <w:rPr>
          <w:rFonts w:hint="eastAsia" w:ascii="Times New Roman" w:hAnsi="Times New Roman" w:eastAsia="仿宋_GB2312"/>
          <w:sz w:val="32"/>
          <w:szCs w:val="32"/>
          <w:lang w:eastAsia="zh-CN"/>
        </w:rPr>
        <w:t>、</w:t>
      </w:r>
      <w:bookmarkStart w:id="92" w:name="_GoBack"/>
      <w:bookmarkEnd w:id="92"/>
      <w:r>
        <w:rPr>
          <w:rFonts w:ascii="Times New Roman" w:hAnsi="Times New Roman" w:eastAsia="仿宋_GB2312"/>
          <w:sz w:val="32"/>
          <w:szCs w:val="32"/>
        </w:rPr>
        <w:t>做到“两个维护”。坚持领导班子决策前学习习近平总书记重要讲话和有关重要论述制度机制，深入推进“三查三问”，确保中央决策和省委、市委工作要求高效落实。坚持党的领导、人民当家作主、依法治国有机统一，坚持和完善人民代表大会制度和政治协</w:t>
      </w:r>
      <w:r>
        <w:rPr>
          <w:rFonts w:hint="eastAsia" w:ascii="Times New Roman" w:hAnsi="Times New Roman" w:eastAsia="仿宋_GB2312"/>
          <w:sz w:val="32"/>
          <w:szCs w:val="32"/>
        </w:rPr>
        <w:t>商</w:t>
      </w:r>
      <w:r>
        <w:rPr>
          <w:rFonts w:ascii="Times New Roman" w:hAnsi="Times New Roman" w:eastAsia="仿宋_GB2312"/>
          <w:sz w:val="32"/>
          <w:szCs w:val="32"/>
        </w:rPr>
        <w:t>制度，充分发挥人大代表反映民意、集中民智的作用，提高政协委员建言资政、凝聚共识水平。巩固最广泛的爱国统一战线，健全基层群众自治制度，注重发挥人民团体作用。</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加强党的组织建设。</w:t>
      </w:r>
      <w:r>
        <w:rPr>
          <w:rFonts w:ascii="Times New Roman" w:hAnsi="Times New Roman" w:eastAsia="仿宋_GB2312"/>
          <w:sz w:val="32"/>
          <w:szCs w:val="32"/>
        </w:rPr>
        <w:t>落实全面从严治党主体责任、监督责任，提高党的建设质量。全面贯彻新时代党的组织路线，加强干部队伍建设，落实好干部标准，坚持重基层、重担当、重作为、重实绩的用人导向，加强各级干部思想淬炼、政治历练、实践锻炼、专业训练，增强各级领导班子和干部政治能力、调查研究能力、科学决策能力、改革攻坚能力、应急处置能力、群众工作能力、抓落实能力，加强对敢当善作为干部的激励保护、容错纠错，以正确的用人导向引领干部创业导向。完善人才工作体系，大力优化人才服务环境、落实人才相关政策，培养造就德才兼备的高素质人才，为实现高质量发展提供有力人才支撑。</w:t>
      </w:r>
    </w:p>
    <w:p>
      <w:pPr>
        <w:pStyle w:val="3"/>
        <w:jc w:val="center"/>
        <w:rPr>
          <w:rFonts w:ascii="Times New Roman" w:hAnsi="Times New Roman" w:eastAsia="楷体_GB2312"/>
          <w:sz w:val="36"/>
          <w:szCs w:val="36"/>
        </w:rPr>
      </w:pPr>
      <w:bookmarkStart w:id="91" w:name="_Toc32447"/>
      <w:r>
        <w:rPr>
          <w:rFonts w:ascii="Times New Roman" w:hAnsi="Times New Roman" w:eastAsia="楷体_GB2312"/>
          <w:sz w:val="36"/>
          <w:szCs w:val="36"/>
        </w:rPr>
        <w:t>第二节  完善规划的实施机制</w:t>
      </w:r>
      <w:bookmarkEnd w:id="91"/>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完善规划管理、强化政策协同，健全实施机制，加快建立科学规范、运行有效的规划推进落实机制。</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加强规划实施责任落实。</w:t>
      </w:r>
      <w:r>
        <w:rPr>
          <w:rFonts w:ascii="Times New Roman" w:hAnsi="Times New Roman" w:eastAsia="仿宋_GB2312"/>
          <w:sz w:val="32"/>
          <w:szCs w:val="32"/>
        </w:rPr>
        <w:t>各乡镇、部门要根据职责分工和规划内容，完善涉及本乡镇、本部门目标任务落实的推进措施、年度计划。涉及规划约束性指标和重点任务，要落实综合施策、协同推进，确保如期完成。规划提出的预期性指标和领域任务，要发挥政府引导、市场主体作用，为完成营造良好的政治生态环境。年度计划要与本规划的目标任务充分衔接，年度目标和重点工作任务要围绕本规划做好推进。</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加强规划实施监测评估。</w:t>
      </w:r>
      <w:r>
        <w:rPr>
          <w:rFonts w:ascii="Times New Roman" w:hAnsi="Times New Roman" w:eastAsia="仿宋_GB2312"/>
          <w:sz w:val="32"/>
          <w:szCs w:val="32"/>
        </w:rPr>
        <w:t>落实规划实施“月度+季度+年度”动态监测和中期评估、总结评估。中期评估经区委常委会审议后依法向区人大常委会报告实施情况，总结评估要纳入“十五五”规划纲要重点内容，规划实施情况纳入领导班子和干部评价体系。本规划内容指标调整，由区政府提出调整方案报区人大常委会批准。</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加强规划实施的协同保障。</w:t>
      </w:r>
      <w:r>
        <w:rPr>
          <w:rFonts w:ascii="Times New Roman" w:hAnsi="Times New Roman" w:eastAsia="仿宋_GB2312"/>
          <w:sz w:val="32"/>
          <w:szCs w:val="32"/>
        </w:rPr>
        <w:t>坚持规划定方向、财政作保障、金融为支撑、其他政策相协调，按照规划目标任务，结合经济发展形势，完善扶持支持政策体系。增强财力保障，加强中期财政规划和年度预算、政府投资计划与本规划实施的衔接，整合财政性资金优先保障规划确定的重点任务和重大工程项目。加强人才支撑，落实企业（项目）服务、体悟实训、人才汇聚、助力乡村振兴“四千工程”，为经济社会发展提供</w:t>
      </w:r>
      <w:r>
        <w:rPr>
          <w:rFonts w:hint="eastAsia" w:ascii="Times New Roman" w:hAnsi="Times New Roman" w:eastAsia="仿宋_GB2312"/>
          <w:sz w:val="32"/>
          <w:szCs w:val="32"/>
        </w:rPr>
        <w:t>有利</w:t>
      </w:r>
      <w:r>
        <w:rPr>
          <w:rFonts w:ascii="Times New Roman" w:hAnsi="Times New Roman" w:eastAsia="仿宋_GB2312"/>
          <w:sz w:val="32"/>
          <w:szCs w:val="32"/>
        </w:rPr>
        <w:t>人才保证。坚持项目“四督四保”“三步走”，完善资金等各类要素，健全重大项目协调推进机制，扩大有效投入，提高项目经济社会效益。</w:t>
      </w:r>
    </w:p>
    <w:p/>
    <w:sectPr>
      <w:pgSz w:w="11906" w:h="16838"/>
      <w:pgMar w:top="1440" w:right="1800"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56</w:t>
    </w:r>
    <w:r>
      <w:rPr>
        <w:rFonts w:ascii="宋体" w:hAnsi="宋体"/>
        <w:sz w:val="28"/>
        <w:szCs w:val="28"/>
      </w:rPr>
      <w:fldChar w:fldCharType="end"/>
    </w:r>
    <w:r>
      <w:rPr>
        <w:rFonts w:hint="eastAsia" w:ascii="宋体" w:hAnsi="宋体"/>
        <w:sz w:val="28"/>
        <w:szCs w:val="28"/>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114</w:t>
    </w:r>
    <w:r>
      <w:rPr>
        <w:rFonts w:ascii="宋体" w:hAnsi="宋体"/>
        <w:sz w:val="28"/>
        <w:szCs w:val="28"/>
      </w:rPr>
      <w:fldChar w:fldCharType="end"/>
    </w:r>
    <w:r>
      <w:rPr>
        <w:rFonts w:hint="eastAsia" w:ascii="宋体" w:hAnsi="宋体"/>
        <w:sz w:val="28"/>
        <w:szCs w:val="28"/>
      </w:rPr>
      <w:t xml:space="preserve"> —</w: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MyMGQ3YzgxNzc1MmExOTExNDA4NTBlYWM0N2RlNDIifQ=="/>
  </w:docVars>
  <w:rsids>
    <w:rsidRoot w:val="7DC65682"/>
    <w:rsid w:val="00214173"/>
    <w:rsid w:val="003603B5"/>
    <w:rsid w:val="00415569"/>
    <w:rsid w:val="00CC71A6"/>
    <w:rsid w:val="00E73A8A"/>
    <w:rsid w:val="00F03F1B"/>
    <w:rsid w:val="719B310F"/>
    <w:rsid w:val="7DC65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9"/>
    <w:pPr>
      <w:keepNext/>
      <w:keepLines/>
      <w:spacing w:before="40"/>
      <w:outlineLvl w:val="2"/>
    </w:pPr>
    <w:rPr>
      <w:rFonts w:ascii="Calibri Light" w:hAnsi="Calibri Light"/>
      <w:color w:val="1F4E79"/>
      <w:sz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0"/>
    <w:pPr>
      <w:spacing w:after="120"/>
    </w:pPr>
  </w:style>
  <w:style w:type="paragraph" w:styleId="6">
    <w:name w:val="toc 3"/>
    <w:basedOn w:val="1"/>
    <w:next w:val="1"/>
    <w:qFormat/>
    <w:uiPriority w:val="0"/>
    <w:pPr>
      <w:ind w:left="840" w:leftChars="4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w:basedOn w:val="5"/>
    <w:unhideWhenUsed/>
    <w:qFormat/>
    <w:uiPriority w:val="99"/>
    <w:pPr>
      <w:ind w:firstLine="420" w:firstLineChars="100"/>
    </w:pPr>
  </w:style>
  <w:style w:type="character" w:customStyle="1" w:styleId="14">
    <w:name w:val="页眉 Char"/>
    <w:basedOn w:val="13"/>
    <w:link w:val="8"/>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119</Pages>
  <Words>56807</Words>
  <Characters>58093</Characters>
  <Lines>454</Lines>
  <Paragraphs>128</Paragraphs>
  <TotalTime>4</TotalTime>
  <ScaleCrop>false</ScaleCrop>
  <LinksUpToDate>false</LinksUpToDate>
  <CharactersWithSpaces>58614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2021-09-27T07:37:00Z</dcterms:created>
  <dc:creator>香雪</dc:creator>
  <cp:lastModifiedBy>Administrator</cp:lastModifiedBy>
  <dcterms:modified xsi:type="dcterms:W3CDTF">2025-08-19T07:09:32Z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89945AE57E7D40B4B4F76A59BCD3B4E7</vt:lpwstr>
  </property>
</Properties>
</file>