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9E24824">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0"/>
        <w:jc w:val="both"/>
        <w:rPr>
          <w:rFonts w:ascii="方正仿宋_GBK" w:hAnsi="方正仿宋_GBK" w:eastAsia="方正仿宋_GBK" w:cs="方正仿宋_GBK"/>
          <w:i w:val="0"/>
          <w:iCs w:val="0"/>
          <w:caps w:val="0"/>
          <w:color w:val="333333"/>
          <w:spacing w:val="0"/>
          <w:sz w:val="32"/>
          <w:szCs w:val="32"/>
          <w:bdr w:val="none" w:color="auto" w:sz="0" w:space="0"/>
          <w:shd w:val="clear" w:fill="FFFFFF"/>
        </w:rPr>
      </w:pPr>
      <w:bookmarkStart w:id="0" w:name="_GoBack"/>
      <w:bookmarkEnd w:id="0"/>
    </w:p>
    <w:p w14:paraId="6CEEBD7E">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0"/>
        <w:jc w:val="both"/>
        <w:rPr>
          <w:rFonts w:ascii="Calibri" w:hAnsi="Calibri" w:cs="Calibri"/>
          <w:i w:val="0"/>
          <w:iCs w:val="0"/>
          <w:caps w:val="0"/>
          <w:color w:val="333333"/>
          <w:spacing w:val="0"/>
          <w:sz w:val="21"/>
          <w:szCs w:val="21"/>
        </w:rPr>
      </w:pPr>
      <w:r>
        <w:rPr>
          <w:rFonts w:ascii="方正仿宋_GBK" w:hAnsi="方正仿宋_GBK" w:eastAsia="方正仿宋_GBK" w:cs="方正仿宋_GBK"/>
          <w:i w:val="0"/>
          <w:iCs w:val="0"/>
          <w:caps w:val="0"/>
          <w:color w:val="333333"/>
          <w:spacing w:val="0"/>
          <w:sz w:val="32"/>
          <w:szCs w:val="32"/>
          <w:bdr w:val="none" w:color="auto" w:sz="0" w:space="0"/>
          <w:shd w:val="clear" w:fill="FFFFFF"/>
        </w:rPr>
        <w:t>各乡、镇人民政府，徽州经济开发区管委会，区政府各部门，各直属机构</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w:t>
      </w:r>
    </w:p>
    <w:p w14:paraId="44CD465E">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640"/>
        <w:jc w:val="both"/>
        <w:rPr>
          <w:rFonts w:hint="default" w:ascii="Calibri" w:hAnsi="Calibri" w:cs="Calibri"/>
          <w:i w:val="0"/>
          <w:iCs w:val="0"/>
          <w:caps w:val="0"/>
          <w:color w:val="333333"/>
          <w:spacing w:val="0"/>
          <w:sz w:val="21"/>
          <w:szCs w:val="21"/>
        </w:rPr>
      </w:pP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为完善政府公示价格体系，显化园地林地草地资产资源质量及价值，加强自然资源保护与合理开发利用，根据《安徽省自然资源厅关于做好园地林地草地定级和基准地价制定有关工作的通知》（皖自然资用函〔</w:t>
      </w:r>
      <w:r>
        <w:rPr>
          <w:rFonts w:hint="default" w:ascii="Times New Roman" w:hAnsi="Times New Roman" w:cs="Times New Roman"/>
          <w:i w:val="0"/>
          <w:iCs w:val="0"/>
          <w:caps w:val="0"/>
          <w:color w:val="333333"/>
          <w:spacing w:val="0"/>
          <w:sz w:val="32"/>
          <w:szCs w:val="32"/>
          <w:bdr w:val="none" w:color="auto" w:sz="0" w:space="0"/>
          <w:shd w:val="clear" w:fill="FFFFFF"/>
        </w:rPr>
        <w:t>2023</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w:t>
      </w:r>
      <w:r>
        <w:rPr>
          <w:rFonts w:hint="default" w:ascii="Times New Roman" w:hAnsi="Times New Roman" w:cs="Times New Roman"/>
          <w:i w:val="0"/>
          <w:iCs w:val="0"/>
          <w:caps w:val="0"/>
          <w:color w:val="333333"/>
          <w:spacing w:val="0"/>
          <w:sz w:val="32"/>
          <w:szCs w:val="32"/>
          <w:bdr w:val="none" w:color="auto" w:sz="0" w:space="0"/>
          <w:shd w:val="clear" w:fill="FFFFFF"/>
        </w:rPr>
        <w:t>23</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号）要求，我区已完成园地林地草地定级和基准地价制定工作，成果已经省自然资源厅验收通过。现予以公布，具体如下：</w:t>
      </w:r>
    </w:p>
    <w:p w14:paraId="022630B4">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640"/>
        <w:jc w:val="both"/>
        <w:rPr>
          <w:rFonts w:hint="default" w:ascii="Calibri" w:hAnsi="Calibri" w:cs="Calibri"/>
          <w:i w:val="0"/>
          <w:iCs w:val="0"/>
          <w:caps w:val="0"/>
          <w:color w:val="333333"/>
          <w:spacing w:val="0"/>
          <w:sz w:val="21"/>
          <w:szCs w:val="21"/>
        </w:rPr>
      </w:pP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一、本次基准地价体系建立依据为：</w:t>
      </w:r>
    </w:p>
    <w:p w14:paraId="39BCD9AE">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640"/>
        <w:jc w:val="both"/>
        <w:rPr>
          <w:rFonts w:hint="default" w:ascii="Calibri" w:hAnsi="Calibri" w:cs="Calibri"/>
          <w:i w:val="0"/>
          <w:iCs w:val="0"/>
          <w:caps w:val="0"/>
          <w:color w:val="333333"/>
          <w:spacing w:val="0"/>
          <w:sz w:val="21"/>
          <w:szCs w:val="21"/>
        </w:rPr>
      </w:pPr>
      <w:r>
        <w:rPr>
          <w:rFonts w:hint="default" w:ascii="Times New Roman" w:hAnsi="Times New Roman" w:cs="Times New Roman"/>
          <w:i w:val="0"/>
          <w:iCs w:val="0"/>
          <w:caps w:val="0"/>
          <w:color w:val="333333"/>
          <w:spacing w:val="0"/>
          <w:sz w:val="32"/>
          <w:szCs w:val="32"/>
          <w:bdr w:val="none" w:color="auto" w:sz="0" w:space="0"/>
          <w:shd w:val="clear" w:fill="FFFFFF"/>
        </w:rPr>
        <w:t>1.</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《自然资源分等定级通则》</w:t>
      </w:r>
      <w:r>
        <w:rPr>
          <w:rFonts w:hint="default" w:ascii="Times New Roman" w:hAnsi="Times New Roman" w:cs="Times New Roman"/>
          <w:i w:val="0"/>
          <w:iCs w:val="0"/>
          <w:caps w:val="0"/>
          <w:color w:val="333333"/>
          <w:spacing w:val="0"/>
          <w:sz w:val="32"/>
          <w:szCs w:val="32"/>
          <w:bdr w:val="none" w:color="auto" w:sz="0" w:space="0"/>
          <w:shd w:val="clear" w:fill="FFFFFF"/>
        </w:rPr>
        <w:t>(TDT1060-2021)</w:t>
      </w:r>
    </w:p>
    <w:p w14:paraId="627A90CF">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640"/>
        <w:jc w:val="both"/>
        <w:rPr>
          <w:rFonts w:hint="default" w:ascii="Calibri" w:hAnsi="Calibri" w:cs="Calibri"/>
          <w:i w:val="0"/>
          <w:iCs w:val="0"/>
          <w:caps w:val="0"/>
          <w:color w:val="333333"/>
          <w:spacing w:val="0"/>
          <w:sz w:val="21"/>
          <w:szCs w:val="21"/>
        </w:rPr>
      </w:pPr>
      <w:r>
        <w:rPr>
          <w:rFonts w:hint="default" w:ascii="Times New Roman" w:hAnsi="Times New Roman" w:cs="Times New Roman"/>
          <w:i w:val="0"/>
          <w:iCs w:val="0"/>
          <w:caps w:val="0"/>
          <w:color w:val="333333"/>
          <w:spacing w:val="0"/>
          <w:sz w:val="32"/>
          <w:szCs w:val="32"/>
          <w:bdr w:val="none" w:color="auto" w:sz="0" w:space="0"/>
          <w:shd w:val="clear" w:fill="FFFFFF"/>
        </w:rPr>
        <w:t>2.</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《自然资源价格评估通则》</w:t>
      </w:r>
      <w:r>
        <w:rPr>
          <w:rFonts w:hint="default" w:ascii="Times New Roman" w:hAnsi="Times New Roman" w:cs="Times New Roman"/>
          <w:i w:val="0"/>
          <w:iCs w:val="0"/>
          <w:caps w:val="0"/>
          <w:color w:val="333333"/>
          <w:spacing w:val="0"/>
          <w:sz w:val="32"/>
          <w:szCs w:val="32"/>
          <w:bdr w:val="none" w:color="auto" w:sz="0" w:space="0"/>
          <w:shd w:val="clear" w:fill="FFFFFF"/>
        </w:rPr>
        <w:t>(TD/T1061-2021)</w:t>
      </w:r>
    </w:p>
    <w:p w14:paraId="1D996953">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640"/>
        <w:jc w:val="both"/>
        <w:rPr>
          <w:rFonts w:hint="default" w:ascii="Calibri" w:hAnsi="Calibri" w:cs="Calibri"/>
          <w:i w:val="0"/>
          <w:iCs w:val="0"/>
          <w:caps w:val="0"/>
          <w:color w:val="333333"/>
          <w:spacing w:val="0"/>
          <w:sz w:val="21"/>
          <w:szCs w:val="21"/>
        </w:rPr>
      </w:pPr>
      <w:r>
        <w:rPr>
          <w:rFonts w:hint="default" w:ascii="Times New Roman" w:hAnsi="Times New Roman" w:cs="Times New Roman"/>
          <w:i w:val="0"/>
          <w:iCs w:val="0"/>
          <w:caps w:val="0"/>
          <w:color w:val="333333"/>
          <w:spacing w:val="0"/>
          <w:sz w:val="32"/>
          <w:szCs w:val="32"/>
          <w:bdr w:val="none" w:color="auto" w:sz="0" w:space="0"/>
          <w:shd w:val="clear" w:fill="FFFFFF"/>
        </w:rPr>
        <w:t>3.</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《园地分等定级规程》</w:t>
      </w:r>
      <w:r>
        <w:rPr>
          <w:rFonts w:hint="default" w:ascii="Times New Roman" w:hAnsi="Times New Roman" w:cs="Times New Roman"/>
          <w:i w:val="0"/>
          <w:iCs w:val="0"/>
          <w:caps w:val="0"/>
          <w:color w:val="333333"/>
          <w:spacing w:val="0"/>
          <w:sz w:val="32"/>
          <w:szCs w:val="32"/>
          <w:bdr w:val="none" w:color="auto" w:sz="0" w:space="0"/>
          <w:shd w:val="clear" w:fill="FFFFFF"/>
        </w:rPr>
        <w:t>(TD/T1071-2022)</w:t>
      </w:r>
    </w:p>
    <w:p w14:paraId="000483B2">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640"/>
        <w:jc w:val="both"/>
        <w:rPr>
          <w:rFonts w:hint="default" w:ascii="Calibri" w:hAnsi="Calibri" w:cs="Calibri"/>
          <w:i w:val="0"/>
          <w:iCs w:val="0"/>
          <w:caps w:val="0"/>
          <w:color w:val="333333"/>
          <w:spacing w:val="0"/>
          <w:sz w:val="21"/>
          <w:szCs w:val="21"/>
        </w:rPr>
      </w:pPr>
      <w:r>
        <w:rPr>
          <w:rFonts w:hint="default" w:ascii="Times New Roman" w:hAnsi="Times New Roman" w:cs="Times New Roman"/>
          <w:i w:val="0"/>
          <w:iCs w:val="0"/>
          <w:caps w:val="0"/>
          <w:color w:val="333333"/>
          <w:spacing w:val="0"/>
          <w:sz w:val="32"/>
          <w:szCs w:val="32"/>
          <w:bdr w:val="none" w:color="auto" w:sz="0" w:space="0"/>
          <w:shd w:val="clear" w:fill="FFFFFF"/>
        </w:rPr>
        <w:t>4.</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《林地分等定级技术规范》 </w:t>
      </w:r>
      <w:r>
        <w:rPr>
          <w:rFonts w:hint="default" w:ascii="Times New Roman" w:hAnsi="Times New Roman" w:cs="Times New Roman"/>
          <w:i w:val="0"/>
          <w:iCs w:val="0"/>
          <w:caps w:val="0"/>
          <w:color w:val="333333"/>
          <w:spacing w:val="0"/>
          <w:sz w:val="32"/>
          <w:szCs w:val="32"/>
          <w:bdr w:val="none" w:color="auto" w:sz="0" w:space="0"/>
          <w:shd w:val="clear" w:fill="FFFFFF"/>
        </w:rPr>
        <w:t>(T/CREVA3101-2021)</w:t>
      </w:r>
    </w:p>
    <w:p w14:paraId="305A2861">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640"/>
        <w:jc w:val="both"/>
        <w:rPr>
          <w:rFonts w:hint="default" w:ascii="Calibri" w:hAnsi="Calibri" w:cs="Calibri"/>
          <w:i w:val="0"/>
          <w:iCs w:val="0"/>
          <w:caps w:val="0"/>
          <w:color w:val="333333"/>
          <w:spacing w:val="0"/>
          <w:sz w:val="21"/>
          <w:szCs w:val="21"/>
        </w:rPr>
      </w:pPr>
      <w:r>
        <w:rPr>
          <w:rFonts w:hint="default" w:ascii="Times New Roman" w:hAnsi="Times New Roman" w:cs="Times New Roman"/>
          <w:i w:val="0"/>
          <w:iCs w:val="0"/>
          <w:caps w:val="0"/>
          <w:color w:val="333333"/>
          <w:spacing w:val="0"/>
          <w:sz w:val="32"/>
          <w:szCs w:val="32"/>
          <w:bdr w:val="none" w:color="auto" w:sz="0" w:space="0"/>
          <w:shd w:val="clear" w:fill="FFFFFF"/>
        </w:rPr>
        <w:t>5.</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《林地估价技术规范》</w:t>
      </w:r>
      <w:r>
        <w:rPr>
          <w:rFonts w:hint="default" w:ascii="Times New Roman" w:hAnsi="Times New Roman" w:cs="Times New Roman"/>
          <w:i w:val="0"/>
          <w:iCs w:val="0"/>
          <w:caps w:val="0"/>
          <w:color w:val="333333"/>
          <w:spacing w:val="0"/>
          <w:sz w:val="32"/>
          <w:szCs w:val="32"/>
          <w:bdr w:val="none" w:color="auto" w:sz="0" w:space="0"/>
          <w:shd w:val="clear" w:fill="FFFFFF"/>
        </w:rPr>
        <w:t>(T/CREVA1101-2021)</w:t>
      </w:r>
    </w:p>
    <w:p w14:paraId="7C2CD049">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640"/>
        <w:jc w:val="both"/>
        <w:rPr>
          <w:rFonts w:hint="default" w:ascii="Calibri" w:hAnsi="Calibri" w:cs="Calibri"/>
          <w:i w:val="0"/>
          <w:iCs w:val="0"/>
          <w:caps w:val="0"/>
          <w:color w:val="333333"/>
          <w:spacing w:val="0"/>
          <w:sz w:val="21"/>
          <w:szCs w:val="21"/>
        </w:rPr>
      </w:pPr>
      <w:r>
        <w:rPr>
          <w:rFonts w:hint="default" w:ascii="Times New Roman" w:hAnsi="Times New Roman" w:cs="Times New Roman"/>
          <w:i w:val="0"/>
          <w:iCs w:val="0"/>
          <w:caps w:val="0"/>
          <w:color w:val="333333"/>
          <w:spacing w:val="0"/>
          <w:sz w:val="32"/>
          <w:szCs w:val="32"/>
          <w:bdr w:val="none" w:color="auto" w:sz="0" w:space="0"/>
          <w:shd w:val="clear" w:fill="FFFFFF"/>
        </w:rPr>
        <w:t>6.</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《草地分等定级技术规范》</w:t>
      </w:r>
      <w:r>
        <w:rPr>
          <w:rFonts w:hint="default" w:ascii="Times New Roman" w:hAnsi="Times New Roman" w:cs="Times New Roman"/>
          <w:i w:val="0"/>
          <w:iCs w:val="0"/>
          <w:caps w:val="0"/>
          <w:color w:val="333333"/>
          <w:spacing w:val="0"/>
          <w:sz w:val="32"/>
          <w:szCs w:val="32"/>
          <w:bdr w:val="none" w:color="auto" w:sz="0" w:space="0"/>
          <w:shd w:val="clear" w:fill="FFFFFF"/>
        </w:rPr>
        <w:t>(T/CREVA3102-2021)</w:t>
      </w:r>
    </w:p>
    <w:p w14:paraId="59E89829">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640"/>
        <w:jc w:val="both"/>
        <w:rPr>
          <w:rFonts w:hint="default" w:ascii="Calibri" w:hAnsi="Calibri" w:cs="Calibri"/>
          <w:i w:val="0"/>
          <w:iCs w:val="0"/>
          <w:caps w:val="0"/>
          <w:color w:val="333333"/>
          <w:spacing w:val="0"/>
          <w:sz w:val="21"/>
          <w:szCs w:val="21"/>
        </w:rPr>
      </w:pPr>
      <w:r>
        <w:rPr>
          <w:rFonts w:hint="default" w:ascii="Times New Roman" w:hAnsi="Times New Roman" w:cs="Times New Roman"/>
          <w:i w:val="0"/>
          <w:iCs w:val="0"/>
          <w:caps w:val="0"/>
          <w:color w:val="333333"/>
          <w:spacing w:val="0"/>
          <w:sz w:val="32"/>
          <w:szCs w:val="32"/>
          <w:bdr w:val="none" w:color="auto" w:sz="0" w:space="0"/>
          <w:shd w:val="clear" w:fill="FFFFFF"/>
        </w:rPr>
        <w:t>7.</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《草地估价技术规范》</w:t>
      </w:r>
      <w:r>
        <w:rPr>
          <w:rFonts w:hint="default" w:ascii="Times New Roman" w:hAnsi="Times New Roman" w:cs="Times New Roman"/>
          <w:i w:val="0"/>
          <w:iCs w:val="0"/>
          <w:caps w:val="0"/>
          <w:color w:val="333333"/>
          <w:spacing w:val="0"/>
          <w:sz w:val="32"/>
          <w:szCs w:val="32"/>
          <w:bdr w:val="none" w:color="auto" w:sz="0" w:space="0"/>
          <w:shd w:val="clear" w:fill="FFFFFF"/>
        </w:rPr>
        <w:t>(T/CREVA1102-2021</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）等</w:t>
      </w:r>
    </w:p>
    <w:p w14:paraId="6AD0A5B1">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640"/>
        <w:jc w:val="both"/>
        <w:rPr>
          <w:rFonts w:hint="default" w:ascii="Calibri" w:hAnsi="Calibri" w:cs="Calibri"/>
          <w:i w:val="0"/>
          <w:iCs w:val="0"/>
          <w:caps w:val="0"/>
          <w:color w:val="333333"/>
          <w:spacing w:val="0"/>
          <w:sz w:val="21"/>
          <w:szCs w:val="21"/>
        </w:rPr>
      </w:pP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二、本次基准地价体系的价格时点为</w:t>
      </w:r>
      <w:r>
        <w:rPr>
          <w:rFonts w:hint="default" w:ascii="Times New Roman" w:hAnsi="Times New Roman" w:cs="Times New Roman"/>
          <w:i w:val="0"/>
          <w:iCs w:val="0"/>
          <w:caps w:val="0"/>
          <w:color w:val="333333"/>
          <w:spacing w:val="0"/>
          <w:sz w:val="32"/>
          <w:szCs w:val="32"/>
          <w:bdr w:val="none" w:color="auto" w:sz="0" w:space="0"/>
          <w:shd w:val="clear" w:fill="FFFFFF"/>
        </w:rPr>
        <w:t>2023</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年</w:t>
      </w:r>
      <w:r>
        <w:rPr>
          <w:rFonts w:hint="default" w:ascii="Times New Roman" w:hAnsi="Times New Roman" w:cs="Times New Roman"/>
          <w:i w:val="0"/>
          <w:iCs w:val="0"/>
          <w:caps w:val="0"/>
          <w:color w:val="333333"/>
          <w:spacing w:val="0"/>
          <w:sz w:val="32"/>
          <w:szCs w:val="32"/>
          <w:bdr w:val="none" w:color="auto" w:sz="0" w:space="0"/>
          <w:shd w:val="clear" w:fill="FFFFFF"/>
        </w:rPr>
        <w:t>1</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月</w:t>
      </w:r>
      <w:r>
        <w:rPr>
          <w:rFonts w:hint="default" w:ascii="Times New Roman" w:hAnsi="Times New Roman" w:cs="Times New Roman"/>
          <w:i w:val="0"/>
          <w:iCs w:val="0"/>
          <w:caps w:val="0"/>
          <w:color w:val="333333"/>
          <w:spacing w:val="0"/>
          <w:sz w:val="32"/>
          <w:szCs w:val="32"/>
          <w:bdr w:val="none" w:color="auto" w:sz="0" w:space="0"/>
          <w:shd w:val="clear" w:fill="FFFFFF"/>
        </w:rPr>
        <w:t>1</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日。</w:t>
      </w:r>
    </w:p>
    <w:p w14:paraId="687A39EC">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640"/>
        <w:jc w:val="both"/>
        <w:rPr>
          <w:rFonts w:hint="default" w:ascii="Calibri" w:hAnsi="Calibri" w:cs="Calibri"/>
          <w:i w:val="0"/>
          <w:iCs w:val="0"/>
          <w:caps w:val="0"/>
          <w:color w:val="333333"/>
          <w:spacing w:val="0"/>
          <w:sz w:val="21"/>
          <w:szCs w:val="21"/>
        </w:rPr>
      </w:pP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三、本次基准地价体系分为园地、林地、草地三种地类，土地使用期限设定为</w:t>
      </w:r>
      <w:r>
        <w:rPr>
          <w:rFonts w:hint="default" w:ascii="Times New Roman" w:hAnsi="Times New Roman" w:cs="Times New Roman"/>
          <w:i w:val="0"/>
          <w:iCs w:val="0"/>
          <w:caps w:val="0"/>
          <w:color w:val="333333"/>
          <w:spacing w:val="0"/>
          <w:sz w:val="32"/>
          <w:szCs w:val="32"/>
          <w:bdr w:val="none" w:color="auto" w:sz="0" w:space="0"/>
          <w:shd w:val="clear" w:fill="FFFFFF"/>
        </w:rPr>
        <w:t>30</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年；权利类型为承包经营权。</w:t>
      </w:r>
    </w:p>
    <w:p w14:paraId="0F521774">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640"/>
        <w:jc w:val="both"/>
        <w:rPr>
          <w:rFonts w:hint="default" w:ascii="Calibri" w:hAnsi="Calibri" w:cs="Calibri"/>
          <w:i w:val="0"/>
          <w:iCs w:val="0"/>
          <w:caps w:val="0"/>
          <w:color w:val="333333"/>
          <w:spacing w:val="0"/>
          <w:sz w:val="21"/>
          <w:szCs w:val="21"/>
        </w:rPr>
      </w:pP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四、本次基准地价体系建立在园地林地草地为设定使用状况和基础设施条件下的正常市场土地使用权价格。</w:t>
      </w:r>
    </w:p>
    <w:p w14:paraId="1D5AE5CE">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640"/>
        <w:jc w:val="both"/>
        <w:rPr>
          <w:rFonts w:hint="default" w:ascii="Calibri" w:hAnsi="Calibri" w:cs="Calibri"/>
          <w:i w:val="0"/>
          <w:iCs w:val="0"/>
          <w:caps w:val="0"/>
          <w:color w:val="333333"/>
          <w:spacing w:val="0"/>
          <w:sz w:val="21"/>
          <w:szCs w:val="21"/>
        </w:rPr>
      </w:pP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五、本次通知的基准地价自发布之日起生效，由区自然资源和规划分局负责解释。</w:t>
      </w:r>
    </w:p>
    <w:p w14:paraId="7CB2E476">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640"/>
        <w:jc w:val="both"/>
        <w:rPr>
          <w:rFonts w:hint="default" w:ascii="Calibri" w:hAnsi="Calibri" w:cs="Calibri"/>
          <w:i w:val="0"/>
          <w:iCs w:val="0"/>
          <w:caps w:val="0"/>
          <w:color w:val="333333"/>
          <w:spacing w:val="0"/>
          <w:sz w:val="21"/>
          <w:szCs w:val="21"/>
        </w:rPr>
      </w:pPr>
      <w:r>
        <w:rPr>
          <w:rFonts w:hint="default" w:ascii="Calibri" w:hAnsi="Calibri" w:cs="Calibri"/>
          <w:i w:val="0"/>
          <w:iCs w:val="0"/>
          <w:caps w:val="0"/>
          <w:color w:val="333333"/>
          <w:spacing w:val="0"/>
          <w:sz w:val="21"/>
          <w:szCs w:val="21"/>
          <w:bdr w:val="none" w:color="auto" w:sz="0" w:space="0"/>
          <w:shd w:val="clear" w:fill="FFFFFF"/>
        </w:rPr>
        <w:t> </w:t>
      </w:r>
    </w:p>
    <w:p w14:paraId="1C6138F8">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640"/>
        <w:jc w:val="both"/>
        <w:rPr>
          <w:rFonts w:hint="default" w:ascii="Calibri" w:hAnsi="Calibri" w:cs="Calibri"/>
          <w:i w:val="0"/>
          <w:iCs w:val="0"/>
          <w:caps w:val="0"/>
          <w:color w:val="333333"/>
          <w:spacing w:val="0"/>
          <w:sz w:val="21"/>
          <w:szCs w:val="21"/>
        </w:rPr>
      </w:pP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附件：</w:t>
      </w:r>
      <w:r>
        <w:rPr>
          <w:rFonts w:hint="default" w:ascii="Times New Roman" w:hAnsi="Times New Roman" w:cs="Times New Roman"/>
          <w:i w:val="0"/>
          <w:iCs w:val="0"/>
          <w:caps w:val="0"/>
          <w:color w:val="333333"/>
          <w:spacing w:val="0"/>
          <w:sz w:val="32"/>
          <w:szCs w:val="32"/>
          <w:bdr w:val="none" w:color="auto" w:sz="0" w:space="0"/>
          <w:shd w:val="clear" w:fill="FFFFFF"/>
        </w:rPr>
        <w:t>1</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、徽州区园地林地草地基准地价成果表</w:t>
      </w:r>
    </w:p>
    <w:p w14:paraId="64215266">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1612"/>
        <w:jc w:val="both"/>
        <w:rPr>
          <w:rFonts w:hint="default" w:ascii="Calibri" w:hAnsi="Calibri" w:cs="Calibri"/>
          <w:i w:val="0"/>
          <w:iCs w:val="0"/>
          <w:caps w:val="0"/>
          <w:color w:val="333333"/>
          <w:spacing w:val="0"/>
          <w:sz w:val="21"/>
          <w:szCs w:val="21"/>
        </w:rPr>
      </w:pPr>
      <w:r>
        <w:rPr>
          <w:rFonts w:hint="default" w:ascii="Times New Roman" w:hAnsi="Times New Roman" w:cs="Times New Roman"/>
          <w:i w:val="0"/>
          <w:iCs w:val="0"/>
          <w:caps w:val="0"/>
          <w:color w:val="333333"/>
          <w:spacing w:val="0"/>
          <w:sz w:val="32"/>
          <w:szCs w:val="32"/>
          <w:bdr w:val="none" w:color="auto" w:sz="0" w:space="0"/>
          <w:shd w:val="clear" w:fill="FFFFFF"/>
        </w:rPr>
        <w:t>2</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、徽州区园地林地草地级别与基准地价图</w:t>
      </w:r>
    </w:p>
    <w:p w14:paraId="084E4E87">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0"/>
        <w:jc w:val="both"/>
        <w:rPr>
          <w:rFonts w:hint="default" w:ascii="Calibri" w:hAnsi="Calibri" w:cs="Calibri"/>
          <w:i w:val="0"/>
          <w:iCs w:val="0"/>
          <w:caps w:val="0"/>
          <w:color w:val="333333"/>
          <w:spacing w:val="0"/>
          <w:sz w:val="21"/>
          <w:szCs w:val="21"/>
        </w:rPr>
      </w:pPr>
      <w:r>
        <w:rPr>
          <w:rFonts w:hint="default" w:ascii="Calibri" w:hAnsi="Calibri" w:cs="Calibri"/>
          <w:i w:val="0"/>
          <w:iCs w:val="0"/>
          <w:caps w:val="0"/>
          <w:color w:val="333333"/>
          <w:spacing w:val="0"/>
          <w:sz w:val="21"/>
          <w:szCs w:val="21"/>
          <w:bdr w:val="none" w:color="auto" w:sz="0" w:space="0"/>
          <w:shd w:val="clear" w:fill="FFFFFF"/>
        </w:rPr>
        <w:t> </w:t>
      </w:r>
    </w:p>
    <w:p w14:paraId="40D1AA65">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0" w:firstLine="0"/>
        <w:jc w:val="both"/>
        <w:rPr>
          <w:rFonts w:hint="default" w:ascii="Calibri" w:hAnsi="Calibri" w:cs="Calibri"/>
          <w:i w:val="0"/>
          <w:iCs w:val="0"/>
          <w:caps w:val="0"/>
          <w:color w:val="333333"/>
          <w:spacing w:val="0"/>
          <w:sz w:val="21"/>
          <w:szCs w:val="21"/>
        </w:rPr>
      </w:pPr>
      <w:r>
        <w:rPr>
          <w:rFonts w:hint="default" w:ascii="Calibri" w:hAnsi="Calibri" w:cs="Calibri"/>
          <w:i w:val="0"/>
          <w:iCs w:val="0"/>
          <w:caps w:val="0"/>
          <w:color w:val="333333"/>
          <w:spacing w:val="0"/>
          <w:sz w:val="21"/>
          <w:szCs w:val="21"/>
          <w:bdr w:val="none" w:color="auto" w:sz="0" w:space="0"/>
          <w:shd w:val="clear" w:fill="FFFFFF"/>
        </w:rPr>
        <w:t> </w:t>
      </w:r>
    </w:p>
    <w:p w14:paraId="24D57244">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420" w:firstLine="0"/>
        <w:jc w:val="center"/>
        <w:rPr>
          <w:rFonts w:hint="default" w:ascii="Calibri" w:hAnsi="Calibri" w:cs="Calibri"/>
          <w:i w:val="0"/>
          <w:iCs w:val="0"/>
          <w:caps w:val="0"/>
          <w:color w:val="333333"/>
          <w:spacing w:val="0"/>
          <w:sz w:val="21"/>
          <w:szCs w:val="21"/>
        </w:rPr>
      </w:pPr>
      <w:r>
        <w:rPr>
          <w:rFonts w:hint="default" w:ascii="Times New Roman" w:hAnsi="Times New Roman" w:cs="Times New Roman"/>
          <w:i w:val="0"/>
          <w:iCs w:val="0"/>
          <w:caps w:val="0"/>
          <w:color w:val="333333"/>
          <w:spacing w:val="0"/>
          <w:sz w:val="32"/>
          <w:szCs w:val="32"/>
          <w:bdr w:val="none" w:color="auto" w:sz="0" w:space="0"/>
          <w:shd w:val="clear" w:fill="FFFFFF"/>
        </w:rPr>
        <w:t>                        </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      黄山市徽州区人民政府</w:t>
      </w:r>
    </w:p>
    <w:p w14:paraId="0884C763">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90" w:lineRule="atLeast"/>
        <w:ind w:left="0" w:right="420" w:firstLine="0"/>
        <w:jc w:val="center"/>
        <w:rPr>
          <w:rFonts w:hint="default" w:ascii="Calibri" w:hAnsi="Calibri" w:cs="Calibri"/>
          <w:i w:val="0"/>
          <w:iCs w:val="0"/>
          <w:caps w:val="0"/>
          <w:color w:val="333333"/>
          <w:spacing w:val="0"/>
          <w:sz w:val="21"/>
          <w:szCs w:val="21"/>
        </w:rPr>
      </w:pPr>
      <w:r>
        <w:rPr>
          <w:rFonts w:hint="default" w:ascii="Times New Roman" w:hAnsi="Times New Roman" w:cs="Times New Roman"/>
          <w:i w:val="0"/>
          <w:iCs w:val="0"/>
          <w:caps w:val="0"/>
          <w:color w:val="333333"/>
          <w:spacing w:val="0"/>
          <w:sz w:val="32"/>
          <w:szCs w:val="32"/>
          <w:bdr w:val="none" w:color="auto" w:sz="0" w:space="0"/>
          <w:shd w:val="clear" w:fill="FFFFFF"/>
        </w:rPr>
        <w:t>                         </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      </w:t>
      </w:r>
      <w:r>
        <w:rPr>
          <w:rFonts w:hint="default" w:ascii="Times New Roman" w:hAnsi="Times New Roman" w:cs="Times New Roman"/>
          <w:i w:val="0"/>
          <w:iCs w:val="0"/>
          <w:caps w:val="0"/>
          <w:color w:val="333333"/>
          <w:spacing w:val="0"/>
          <w:sz w:val="32"/>
          <w:szCs w:val="32"/>
          <w:bdr w:val="none" w:color="auto" w:sz="0" w:space="0"/>
          <w:shd w:val="clear" w:fill="FFFFFF"/>
        </w:rPr>
        <w:t>202</w:t>
      </w:r>
      <w:r>
        <w:rPr>
          <w:rFonts w:hint="default" w:ascii="Times New Roman" w:hAnsi="Times New Roman" w:eastAsia="方正仿宋_GBK" w:cs="Times New Roman"/>
          <w:i w:val="0"/>
          <w:iCs w:val="0"/>
          <w:caps w:val="0"/>
          <w:color w:val="333333"/>
          <w:spacing w:val="0"/>
          <w:sz w:val="32"/>
          <w:szCs w:val="32"/>
          <w:bdr w:val="none" w:color="auto" w:sz="0" w:space="0"/>
          <w:shd w:val="clear" w:fill="FFFFFF"/>
        </w:rPr>
        <w:t>5</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年</w:t>
      </w:r>
      <w:r>
        <w:rPr>
          <w:rFonts w:hint="default" w:ascii="Times New Roman" w:hAnsi="Times New Roman" w:eastAsia="方正仿宋_GBK" w:cs="Times New Roman"/>
          <w:i w:val="0"/>
          <w:iCs w:val="0"/>
          <w:caps w:val="0"/>
          <w:color w:val="333333"/>
          <w:spacing w:val="0"/>
          <w:sz w:val="32"/>
          <w:szCs w:val="32"/>
          <w:bdr w:val="none" w:color="auto" w:sz="0" w:space="0"/>
          <w:shd w:val="clear" w:fill="FFFFFF"/>
        </w:rPr>
        <w:t>2</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月</w:t>
      </w:r>
      <w:r>
        <w:rPr>
          <w:rFonts w:hint="default" w:ascii="Times New Roman" w:hAnsi="Times New Roman" w:eastAsia="方正仿宋_GBK" w:cs="Times New Roman"/>
          <w:i w:val="0"/>
          <w:iCs w:val="0"/>
          <w:caps w:val="0"/>
          <w:color w:val="333333"/>
          <w:spacing w:val="0"/>
          <w:sz w:val="32"/>
          <w:szCs w:val="32"/>
          <w:bdr w:val="none" w:color="auto" w:sz="0" w:space="0"/>
          <w:shd w:val="clear" w:fill="FFFFFF"/>
        </w:rPr>
        <w:t>6</w:t>
      </w:r>
      <w:r>
        <w:rPr>
          <w:rFonts w:hint="default" w:ascii="方正仿宋_GBK" w:hAnsi="方正仿宋_GBK" w:eastAsia="方正仿宋_GBK" w:cs="方正仿宋_GBK"/>
          <w:i w:val="0"/>
          <w:iCs w:val="0"/>
          <w:caps w:val="0"/>
          <w:color w:val="333333"/>
          <w:spacing w:val="0"/>
          <w:sz w:val="32"/>
          <w:szCs w:val="32"/>
          <w:bdr w:val="none" w:color="auto" w:sz="0" w:space="0"/>
          <w:shd w:val="clear" w:fill="FFFFFF"/>
        </w:rPr>
        <w:t>日</w:t>
      </w:r>
    </w:p>
    <w:p w14:paraId="7F9E06BE">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Calibri" w:hAnsi="Calibri" w:cs="Calibri"/>
          <w:i w:val="0"/>
          <w:iCs w:val="0"/>
          <w:caps w:val="0"/>
          <w:color w:val="333333"/>
          <w:spacing w:val="0"/>
          <w:sz w:val="21"/>
          <w:szCs w:val="21"/>
        </w:rPr>
      </w:pPr>
      <w:r>
        <w:rPr>
          <w:rFonts w:ascii="方正黑体_GBK" w:hAnsi="方正黑体_GBK" w:eastAsia="方正黑体_GBK" w:cs="方正黑体_GBK"/>
          <w:b w:val="0"/>
          <w:bCs w:val="0"/>
          <w:i w:val="0"/>
          <w:iCs w:val="0"/>
          <w:caps w:val="0"/>
          <w:color w:val="333333"/>
          <w:spacing w:val="0"/>
          <w:sz w:val="32"/>
          <w:szCs w:val="32"/>
          <w:bdr w:val="none" w:color="auto" w:sz="0" w:space="0"/>
          <w:shd w:val="clear" w:fill="FFFFFF"/>
        </w:rPr>
        <w:t>附件</w:t>
      </w:r>
      <w:r>
        <w:rPr>
          <w:rFonts w:hint="default" w:ascii="Times New Roman" w:hAnsi="Times New Roman" w:cs="Times New Roman"/>
          <w:b w:val="0"/>
          <w:bCs w:val="0"/>
          <w:i w:val="0"/>
          <w:iCs w:val="0"/>
          <w:caps w:val="0"/>
          <w:color w:val="333333"/>
          <w:spacing w:val="0"/>
          <w:sz w:val="32"/>
          <w:szCs w:val="32"/>
          <w:bdr w:val="none" w:color="auto" w:sz="0" w:space="0"/>
          <w:shd w:val="clear" w:fill="FFFFFF"/>
        </w:rPr>
        <w:t>1</w:t>
      </w:r>
    </w:p>
    <w:p w14:paraId="780F0512">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640" w:lineRule="atLeast"/>
        <w:ind w:left="0" w:right="0" w:firstLine="0"/>
        <w:jc w:val="center"/>
        <w:rPr>
          <w:rFonts w:hint="default" w:ascii="Calibri" w:hAnsi="Calibri" w:cs="Calibri"/>
          <w:i w:val="0"/>
          <w:iCs w:val="0"/>
          <w:caps w:val="0"/>
          <w:color w:val="333333"/>
          <w:spacing w:val="0"/>
          <w:sz w:val="21"/>
          <w:szCs w:val="21"/>
        </w:rPr>
      </w:pPr>
      <w:r>
        <w:rPr>
          <w:rFonts w:ascii="方正小标宋_GBK" w:hAnsi="方正小标宋_GBK" w:eastAsia="方正小标宋_GBK" w:cs="方正小标宋_GBK"/>
          <w:b w:val="0"/>
          <w:bCs w:val="0"/>
          <w:i w:val="0"/>
          <w:iCs w:val="0"/>
          <w:caps w:val="0"/>
          <w:color w:val="333333"/>
          <w:spacing w:val="0"/>
          <w:sz w:val="44"/>
          <w:szCs w:val="44"/>
          <w:bdr w:val="none" w:color="auto" w:sz="0" w:space="0"/>
          <w:shd w:val="clear" w:fill="FFFFFF"/>
        </w:rPr>
        <w:t>徽州区园地林地草地基准地价表</w:t>
      </w:r>
    </w:p>
    <w:tbl>
      <w:tblPr>
        <w:tblW w:w="9950" w:type="dxa"/>
        <w:jc w:val="center"/>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Layout w:type="autofit"/>
        <w:tblCellMar>
          <w:top w:w="0" w:type="dxa"/>
          <w:left w:w="0" w:type="dxa"/>
          <w:bottom w:w="0" w:type="dxa"/>
          <w:right w:w="0" w:type="dxa"/>
        </w:tblCellMar>
      </w:tblPr>
      <w:tblGrid>
        <w:gridCol w:w="1153"/>
        <w:gridCol w:w="1609"/>
        <w:gridCol w:w="1209"/>
        <w:gridCol w:w="1286"/>
        <w:gridCol w:w="1159"/>
        <w:gridCol w:w="1300"/>
        <w:gridCol w:w="1121"/>
        <w:gridCol w:w="1113"/>
      </w:tblGrid>
      <w:tr w14:paraId="2AD548C3">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rPr>
          <w:trHeight w:val="673" w:hRule="atLeast"/>
          <w:jc w:val="center"/>
        </w:trPr>
        <w:tc>
          <w:tcPr>
            <w:tcW w:w="1387" w:type="pct"/>
            <w:gridSpan w:val="2"/>
            <w:vMerge w:val="restart"/>
            <w:tcBorders>
              <w:top w:val="single" w:color="000000" w:sz="4" w:space="0"/>
              <w:left w:val="single" w:color="000000" w:sz="4" w:space="0"/>
              <w:bottom w:val="single" w:color="000000" w:sz="4" w:space="0"/>
              <w:right w:val="single" w:color="000000" w:sz="4" w:space="0"/>
            </w:tcBorders>
            <w:shd w:val="clear"/>
            <w:tcMar>
              <w:top w:w="0" w:type="dxa"/>
              <w:left w:w="0" w:type="dxa"/>
              <w:bottom w:w="0" w:type="dxa"/>
              <w:right w:w="0" w:type="dxa"/>
            </w:tcMar>
            <w:vAlign w:val="center"/>
          </w:tcPr>
          <w:p w14:paraId="386A5CB7">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Calibri" w:hAnsi="Calibri" w:eastAsia="宋体" w:cs="Calibri"/>
                <w:b/>
                <w:bCs/>
                <w:sz w:val="28"/>
                <w:szCs w:val="28"/>
                <w:bdr w:val="none" w:color="auto" w:sz="0" w:space="0"/>
              </w:rPr>
              <w:t>   </w:t>
            </w:r>
            <w:r>
              <w:rPr>
                <w:rFonts w:hint="default" w:ascii="方正仿宋_GBK" w:hAnsi="方正仿宋_GBK" w:eastAsia="方正仿宋_GBK" w:cs="方正仿宋_GBK"/>
                <w:b/>
                <w:bCs/>
                <w:sz w:val="28"/>
                <w:szCs w:val="28"/>
                <w:bdr w:val="none" w:color="auto" w:sz="0" w:space="0"/>
              </w:rPr>
              <w:t> 级别</w:t>
            </w:r>
          </w:p>
          <w:p w14:paraId="7941216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62"/>
              <w:jc w:val="center"/>
              <w:rPr>
                <w:rFonts w:hint="default" w:ascii="Calibri" w:hAnsi="Calibri" w:cs="Calibri"/>
                <w:sz w:val="21"/>
                <w:szCs w:val="21"/>
              </w:rPr>
            </w:pPr>
            <w:r>
              <w:rPr>
                <w:rFonts w:hint="default" w:ascii="Calibri" w:hAnsi="Calibri" w:cs="Calibri"/>
                <w:sz w:val="21"/>
                <w:szCs w:val="21"/>
                <w:bdr w:val="none" w:color="auto" w:sz="0" w:space="0"/>
              </w:rPr>
              <w:t> </w:t>
            </w:r>
          </w:p>
          <w:p w14:paraId="2CD6D84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562"/>
              <w:jc w:val="both"/>
              <w:rPr>
                <w:rFonts w:hint="default" w:ascii="Calibri" w:hAnsi="Calibri" w:cs="Calibri"/>
                <w:sz w:val="21"/>
                <w:szCs w:val="21"/>
              </w:rPr>
            </w:pPr>
            <w:r>
              <w:rPr>
                <w:rFonts w:hint="default" w:ascii="方正仿宋_GBK" w:hAnsi="方正仿宋_GBK" w:eastAsia="方正仿宋_GBK" w:cs="方正仿宋_GBK"/>
                <w:b/>
                <w:bCs/>
                <w:sz w:val="28"/>
                <w:szCs w:val="28"/>
                <w:bdr w:val="none" w:color="auto" w:sz="0" w:space="0"/>
              </w:rPr>
              <w:t>地类</w:t>
            </w:r>
          </w:p>
        </w:tc>
        <w:tc>
          <w:tcPr>
            <w:tcW w:w="1253" w:type="pct"/>
            <w:gridSpan w:val="2"/>
            <w:tcBorders>
              <w:top w:val="single" w:color="000000" w:sz="4" w:space="0"/>
              <w:left w:val="single" w:color="000000" w:sz="4" w:space="0"/>
              <w:bottom w:val="single" w:color="auto" w:sz="4" w:space="0"/>
              <w:right w:val="single" w:color="000000" w:sz="4" w:space="0"/>
            </w:tcBorders>
            <w:shd w:val="clear"/>
            <w:tcMar>
              <w:top w:w="0" w:type="dxa"/>
              <w:left w:w="0" w:type="dxa"/>
              <w:bottom w:w="0" w:type="dxa"/>
              <w:right w:w="0" w:type="dxa"/>
            </w:tcMar>
            <w:vAlign w:val="center"/>
          </w:tcPr>
          <w:p w14:paraId="63FE7B6A">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方正仿宋_GBK" w:hAnsi="方正仿宋_GBK" w:eastAsia="方正仿宋_GBK" w:cs="方正仿宋_GBK"/>
                <w:b/>
                <w:bCs/>
                <w:sz w:val="28"/>
                <w:szCs w:val="28"/>
                <w:bdr w:val="none" w:color="auto" w:sz="0" w:space="0"/>
              </w:rPr>
              <w:t>一级地</w:t>
            </w:r>
          </w:p>
        </w:tc>
        <w:tc>
          <w:tcPr>
            <w:tcW w:w="1235" w:type="pct"/>
            <w:gridSpan w:val="2"/>
            <w:tcBorders>
              <w:top w:val="single" w:color="000000" w:sz="4" w:space="0"/>
              <w:left w:val="single" w:color="000000" w:sz="4" w:space="0"/>
              <w:bottom w:val="single" w:color="auto" w:sz="4" w:space="0"/>
              <w:right w:val="single" w:color="000000" w:sz="4" w:space="0"/>
            </w:tcBorders>
            <w:shd w:val="clear"/>
            <w:tcMar>
              <w:top w:w="0" w:type="dxa"/>
              <w:left w:w="0" w:type="dxa"/>
              <w:bottom w:w="0" w:type="dxa"/>
              <w:right w:w="0" w:type="dxa"/>
            </w:tcMar>
            <w:vAlign w:val="center"/>
          </w:tcPr>
          <w:p w14:paraId="46BEC820">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方正仿宋_GBK" w:hAnsi="方正仿宋_GBK" w:eastAsia="方正仿宋_GBK" w:cs="方正仿宋_GBK"/>
                <w:b/>
                <w:bCs/>
                <w:sz w:val="28"/>
                <w:szCs w:val="28"/>
                <w:bdr w:val="none" w:color="auto" w:sz="0" w:space="0"/>
              </w:rPr>
              <w:t>二级地</w:t>
            </w:r>
          </w:p>
        </w:tc>
        <w:tc>
          <w:tcPr>
            <w:tcW w:w="1122" w:type="pct"/>
            <w:gridSpan w:val="2"/>
            <w:tcBorders>
              <w:top w:val="single" w:color="000000" w:sz="4" w:space="0"/>
              <w:left w:val="single" w:color="000000" w:sz="4" w:space="0"/>
              <w:bottom w:val="single" w:color="auto" w:sz="4" w:space="0"/>
              <w:right w:val="single" w:color="000000" w:sz="4" w:space="0"/>
            </w:tcBorders>
            <w:shd w:val="clear"/>
            <w:tcMar>
              <w:top w:w="0" w:type="dxa"/>
              <w:left w:w="0" w:type="dxa"/>
              <w:bottom w:w="0" w:type="dxa"/>
              <w:right w:w="0" w:type="dxa"/>
            </w:tcMar>
            <w:vAlign w:val="center"/>
          </w:tcPr>
          <w:p w14:paraId="005D245D">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方正仿宋_GBK" w:hAnsi="方正仿宋_GBK" w:eastAsia="方正仿宋_GBK" w:cs="方正仿宋_GBK"/>
                <w:b/>
                <w:bCs/>
                <w:sz w:val="28"/>
                <w:szCs w:val="28"/>
                <w:bdr w:val="none" w:color="auto" w:sz="0" w:space="0"/>
              </w:rPr>
              <w:t>三级地</w:t>
            </w:r>
          </w:p>
        </w:tc>
      </w:tr>
      <w:tr w14:paraId="4B394A03">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rPr>
          <w:trHeight w:val="688" w:hRule="atLeast"/>
          <w:jc w:val="center"/>
        </w:trPr>
        <w:tc>
          <w:tcPr>
            <w:tcW w:w="1387" w:type="pct"/>
            <w:gridSpan w:val="2"/>
            <w:vMerge w:val="continue"/>
            <w:tcBorders>
              <w:top w:val="single" w:color="000000" w:sz="4" w:space="0"/>
              <w:left w:val="single" w:color="000000" w:sz="4" w:space="0"/>
              <w:bottom w:val="single" w:color="000000" w:sz="4" w:space="0"/>
              <w:right w:val="single" w:color="000000" w:sz="4" w:space="0"/>
            </w:tcBorders>
            <w:shd w:val="clear"/>
            <w:tcMar>
              <w:top w:w="0" w:type="dxa"/>
              <w:left w:w="0" w:type="dxa"/>
              <w:bottom w:w="0" w:type="dxa"/>
              <w:right w:w="0" w:type="dxa"/>
            </w:tcMar>
            <w:vAlign w:val="center"/>
          </w:tcPr>
          <w:p w14:paraId="69CEE8D2">
            <w:pPr>
              <w:rPr>
                <w:rFonts w:hint="default" w:ascii="Times New Roman" w:hAnsi="Times New Roman" w:cs="Times New Roman"/>
                <w:sz w:val="20"/>
                <w:szCs w:val="20"/>
              </w:rPr>
            </w:pPr>
          </w:p>
        </w:tc>
        <w:tc>
          <w:tcPr>
            <w:tcW w:w="607" w:type="pct"/>
            <w:tcBorders>
              <w:top w:val="nil"/>
              <w:left w:val="single" w:color="000000" w:sz="4" w:space="0"/>
              <w:bottom w:val="single" w:color="000000" w:sz="4" w:space="0"/>
              <w:right w:val="single" w:color="auto" w:sz="4" w:space="0"/>
            </w:tcBorders>
            <w:shd w:val="clear"/>
            <w:tcMar>
              <w:top w:w="0" w:type="dxa"/>
              <w:left w:w="0" w:type="dxa"/>
              <w:bottom w:w="0" w:type="dxa"/>
              <w:right w:w="0" w:type="dxa"/>
            </w:tcMar>
            <w:vAlign w:val="center"/>
          </w:tcPr>
          <w:p w14:paraId="1FA68EE8">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方正仿宋_GBK" w:hAnsi="方正仿宋_GBK" w:eastAsia="方正仿宋_GBK" w:cs="方正仿宋_GBK"/>
                <w:sz w:val="28"/>
                <w:szCs w:val="28"/>
                <w:bdr w:val="none" w:color="auto" w:sz="0" w:space="0"/>
              </w:rPr>
              <w:t>元</w:t>
            </w:r>
            <w:r>
              <w:rPr>
                <w:rFonts w:hint="default" w:ascii="Times New Roman" w:hAnsi="Times New Roman" w:cs="Times New Roman"/>
                <w:sz w:val="28"/>
                <w:szCs w:val="28"/>
                <w:bdr w:val="none" w:color="auto" w:sz="0" w:space="0"/>
              </w:rPr>
              <w:t>/</w:t>
            </w:r>
            <w:r>
              <w:rPr>
                <w:rFonts w:hint="default" w:ascii="方正仿宋_GBK" w:hAnsi="方正仿宋_GBK" w:eastAsia="方正仿宋_GBK" w:cs="方正仿宋_GBK"/>
                <w:sz w:val="28"/>
                <w:szCs w:val="28"/>
                <w:bdr w:val="none" w:color="auto" w:sz="0" w:space="0"/>
              </w:rPr>
              <w:t>㎡</w:t>
            </w:r>
          </w:p>
        </w:tc>
        <w:tc>
          <w:tcPr>
            <w:tcW w:w="645" w:type="pct"/>
            <w:tcBorders>
              <w:top w:val="nil"/>
              <w:left w:val="nil"/>
              <w:bottom w:val="single" w:color="000000" w:sz="4" w:space="0"/>
              <w:right w:val="single" w:color="000000" w:sz="4" w:space="0"/>
            </w:tcBorders>
            <w:shd w:val="clear"/>
            <w:tcMar>
              <w:top w:w="0" w:type="dxa"/>
              <w:left w:w="0" w:type="dxa"/>
              <w:bottom w:w="0" w:type="dxa"/>
              <w:right w:w="0" w:type="dxa"/>
            </w:tcMar>
            <w:vAlign w:val="center"/>
          </w:tcPr>
          <w:p w14:paraId="1FE4668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方正仿宋_GBK" w:hAnsi="方正仿宋_GBK" w:eastAsia="方正仿宋_GBK" w:cs="方正仿宋_GBK"/>
                <w:sz w:val="28"/>
                <w:szCs w:val="28"/>
                <w:bdr w:val="none" w:color="auto" w:sz="0" w:space="0"/>
              </w:rPr>
              <w:t>万元</w:t>
            </w:r>
            <w:r>
              <w:rPr>
                <w:rFonts w:hint="default" w:ascii="Times New Roman" w:hAnsi="Times New Roman" w:cs="Times New Roman"/>
                <w:sz w:val="28"/>
                <w:szCs w:val="28"/>
                <w:bdr w:val="none" w:color="auto" w:sz="0" w:space="0"/>
              </w:rPr>
              <w:t>/</w:t>
            </w:r>
            <w:r>
              <w:rPr>
                <w:rFonts w:hint="default" w:ascii="方正仿宋_GBK" w:hAnsi="方正仿宋_GBK" w:eastAsia="方正仿宋_GBK" w:cs="方正仿宋_GBK"/>
                <w:sz w:val="28"/>
                <w:szCs w:val="28"/>
                <w:bdr w:val="none" w:color="auto" w:sz="0" w:space="0"/>
              </w:rPr>
              <w:t>亩</w:t>
            </w:r>
          </w:p>
        </w:tc>
        <w:tc>
          <w:tcPr>
            <w:tcW w:w="582" w:type="pct"/>
            <w:tcBorders>
              <w:top w:val="nil"/>
              <w:left w:val="single" w:color="000000" w:sz="4" w:space="0"/>
              <w:bottom w:val="single" w:color="000000" w:sz="4" w:space="0"/>
              <w:right w:val="single" w:color="auto" w:sz="4" w:space="0"/>
            </w:tcBorders>
            <w:shd w:val="clear"/>
            <w:tcMar>
              <w:top w:w="0" w:type="dxa"/>
              <w:left w:w="0" w:type="dxa"/>
              <w:bottom w:w="0" w:type="dxa"/>
              <w:right w:w="0" w:type="dxa"/>
            </w:tcMar>
            <w:vAlign w:val="center"/>
          </w:tcPr>
          <w:p w14:paraId="6823511F">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方正仿宋_GBK" w:hAnsi="方正仿宋_GBK" w:eastAsia="方正仿宋_GBK" w:cs="方正仿宋_GBK"/>
                <w:sz w:val="28"/>
                <w:szCs w:val="28"/>
                <w:bdr w:val="none" w:color="auto" w:sz="0" w:space="0"/>
              </w:rPr>
              <w:t>元</w:t>
            </w:r>
            <w:r>
              <w:rPr>
                <w:rFonts w:hint="default" w:ascii="Times New Roman" w:hAnsi="Times New Roman" w:cs="Times New Roman"/>
                <w:sz w:val="28"/>
                <w:szCs w:val="28"/>
                <w:bdr w:val="none" w:color="auto" w:sz="0" w:space="0"/>
              </w:rPr>
              <w:t>/</w:t>
            </w:r>
            <w:r>
              <w:rPr>
                <w:rFonts w:hint="default" w:ascii="方正仿宋_GBK" w:hAnsi="方正仿宋_GBK" w:eastAsia="方正仿宋_GBK" w:cs="方正仿宋_GBK"/>
                <w:sz w:val="28"/>
                <w:szCs w:val="28"/>
                <w:bdr w:val="none" w:color="auto" w:sz="0" w:space="0"/>
              </w:rPr>
              <w:t>㎡</w:t>
            </w:r>
          </w:p>
        </w:tc>
        <w:tc>
          <w:tcPr>
            <w:tcW w:w="653" w:type="pct"/>
            <w:tcBorders>
              <w:top w:val="single" w:color="auto" w:sz="4" w:space="0"/>
              <w:left w:val="nil"/>
              <w:bottom w:val="single" w:color="000000" w:sz="4" w:space="0"/>
              <w:right w:val="single" w:color="000000" w:sz="4" w:space="0"/>
            </w:tcBorders>
            <w:shd w:val="clear"/>
            <w:tcMar>
              <w:top w:w="0" w:type="dxa"/>
              <w:left w:w="0" w:type="dxa"/>
              <w:bottom w:w="0" w:type="dxa"/>
              <w:right w:w="0" w:type="dxa"/>
            </w:tcMar>
            <w:vAlign w:val="center"/>
          </w:tcPr>
          <w:p w14:paraId="4C32959A">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方正仿宋_GBK" w:hAnsi="方正仿宋_GBK" w:eastAsia="方正仿宋_GBK" w:cs="方正仿宋_GBK"/>
                <w:sz w:val="28"/>
                <w:szCs w:val="28"/>
                <w:bdr w:val="none" w:color="auto" w:sz="0" w:space="0"/>
              </w:rPr>
              <w:t>万元</w:t>
            </w:r>
            <w:r>
              <w:rPr>
                <w:rFonts w:hint="default" w:ascii="Times New Roman" w:hAnsi="Times New Roman" w:cs="Times New Roman"/>
                <w:sz w:val="28"/>
                <w:szCs w:val="28"/>
                <w:bdr w:val="none" w:color="auto" w:sz="0" w:space="0"/>
              </w:rPr>
              <w:t>/</w:t>
            </w:r>
            <w:r>
              <w:rPr>
                <w:rFonts w:hint="default" w:ascii="方正仿宋_GBK" w:hAnsi="方正仿宋_GBK" w:eastAsia="方正仿宋_GBK" w:cs="方正仿宋_GBK"/>
                <w:sz w:val="28"/>
                <w:szCs w:val="28"/>
                <w:bdr w:val="none" w:color="auto" w:sz="0" w:space="0"/>
              </w:rPr>
              <w:t>亩</w:t>
            </w:r>
          </w:p>
        </w:tc>
        <w:tc>
          <w:tcPr>
            <w:tcW w:w="563" w:type="pct"/>
            <w:tcBorders>
              <w:top w:val="single" w:color="auto" w:sz="4" w:space="0"/>
              <w:left w:val="single" w:color="000000" w:sz="4" w:space="0"/>
              <w:bottom w:val="single" w:color="000000" w:sz="4" w:space="0"/>
              <w:right w:val="single" w:color="auto" w:sz="4" w:space="0"/>
            </w:tcBorders>
            <w:shd w:val="clear"/>
            <w:tcMar>
              <w:top w:w="0" w:type="dxa"/>
              <w:left w:w="0" w:type="dxa"/>
              <w:bottom w:w="0" w:type="dxa"/>
              <w:right w:w="0" w:type="dxa"/>
            </w:tcMar>
            <w:vAlign w:val="center"/>
          </w:tcPr>
          <w:p w14:paraId="7812545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方正仿宋_GBK" w:hAnsi="方正仿宋_GBK" w:eastAsia="方正仿宋_GBK" w:cs="方正仿宋_GBK"/>
                <w:sz w:val="28"/>
                <w:szCs w:val="28"/>
                <w:bdr w:val="none" w:color="auto" w:sz="0" w:space="0"/>
              </w:rPr>
              <w:t>元</w:t>
            </w:r>
            <w:r>
              <w:rPr>
                <w:rFonts w:hint="default" w:ascii="Times New Roman" w:hAnsi="Times New Roman" w:cs="Times New Roman"/>
                <w:sz w:val="28"/>
                <w:szCs w:val="28"/>
                <w:bdr w:val="none" w:color="auto" w:sz="0" w:space="0"/>
              </w:rPr>
              <w:t>/</w:t>
            </w:r>
            <w:r>
              <w:rPr>
                <w:rFonts w:hint="default" w:ascii="方正仿宋_GBK" w:hAnsi="方正仿宋_GBK" w:eastAsia="方正仿宋_GBK" w:cs="方正仿宋_GBK"/>
                <w:sz w:val="28"/>
                <w:szCs w:val="28"/>
                <w:bdr w:val="none" w:color="auto" w:sz="0" w:space="0"/>
              </w:rPr>
              <w:t>㎡</w:t>
            </w:r>
          </w:p>
        </w:tc>
        <w:tc>
          <w:tcPr>
            <w:tcW w:w="558" w:type="pct"/>
            <w:tcBorders>
              <w:top w:val="single" w:color="auto" w:sz="4" w:space="0"/>
              <w:left w:val="nil"/>
              <w:bottom w:val="single" w:color="000000" w:sz="4" w:space="0"/>
              <w:right w:val="single" w:color="000000" w:sz="4" w:space="0"/>
            </w:tcBorders>
            <w:shd w:val="clear"/>
            <w:tcMar>
              <w:top w:w="0" w:type="dxa"/>
              <w:left w:w="0" w:type="dxa"/>
              <w:bottom w:w="0" w:type="dxa"/>
              <w:right w:w="0" w:type="dxa"/>
            </w:tcMar>
            <w:vAlign w:val="center"/>
          </w:tcPr>
          <w:p w14:paraId="18AB331F">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方正仿宋_GBK" w:hAnsi="方正仿宋_GBK" w:eastAsia="方正仿宋_GBK" w:cs="方正仿宋_GBK"/>
                <w:sz w:val="28"/>
                <w:szCs w:val="28"/>
                <w:bdr w:val="none" w:color="auto" w:sz="0" w:space="0"/>
              </w:rPr>
              <w:t>万元</w:t>
            </w:r>
            <w:r>
              <w:rPr>
                <w:rFonts w:hint="default" w:ascii="Times New Roman" w:hAnsi="Times New Roman" w:cs="Times New Roman"/>
                <w:sz w:val="28"/>
                <w:szCs w:val="28"/>
                <w:bdr w:val="none" w:color="auto" w:sz="0" w:space="0"/>
              </w:rPr>
              <w:t>/</w:t>
            </w:r>
            <w:r>
              <w:rPr>
                <w:rFonts w:hint="default" w:ascii="方正仿宋_GBK" w:hAnsi="方正仿宋_GBK" w:eastAsia="方正仿宋_GBK" w:cs="方正仿宋_GBK"/>
                <w:sz w:val="28"/>
                <w:szCs w:val="28"/>
                <w:bdr w:val="none" w:color="auto" w:sz="0" w:space="0"/>
              </w:rPr>
              <w:t>亩</w:t>
            </w:r>
          </w:p>
        </w:tc>
      </w:tr>
      <w:tr w14:paraId="39262C09">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rPr>
          <w:trHeight w:val="673" w:hRule="atLeast"/>
          <w:jc w:val="center"/>
        </w:trPr>
        <w:tc>
          <w:tcPr>
            <w:tcW w:w="579" w:type="pct"/>
            <w:vMerge w:val="restart"/>
            <w:tcBorders>
              <w:top w:val="nil"/>
              <w:left w:val="single" w:color="000000" w:sz="4" w:space="0"/>
              <w:bottom w:val="single" w:color="000000" w:sz="4" w:space="0"/>
              <w:right w:val="single" w:color="auto" w:sz="4" w:space="0"/>
            </w:tcBorders>
            <w:shd w:val="clear"/>
            <w:tcMar>
              <w:top w:w="0" w:type="dxa"/>
              <w:left w:w="0" w:type="dxa"/>
              <w:bottom w:w="0" w:type="dxa"/>
              <w:right w:w="0" w:type="dxa"/>
            </w:tcMar>
            <w:vAlign w:val="center"/>
          </w:tcPr>
          <w:p w14:paraId="30A6328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Calibri" w:hAnsi="Calibri" w:cs="Calibri"/>
                <w:sz w:val="21"/>
                <w:szCs w:val="21"/>
                <w:bdr w:val="none" w:color="auto" w:sz="0" w:space="0"/>
              </w:rPr>
              <w:t> </w:t>
            </w:r>
          </w:p>
          <w:p w14:paraId="39E4F66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方正仿宋_GBK" w:hAnsi="方正仿宋_GBK" w:eastAsia="方正仿宋_GBK" w:cs="方正仿宋_GBK"/>
                <w:sz w:val="28"/>
                <w:szCs w:val="28"/>
                <w:bdr w:val="none" w:color="auto" w:sz="0" w:space="0"/>
              </w:rPr>
              <w:t>园地</w:t>
            </w:r>
          </w:p>
        </w:tc>
        <w:tc>
          <w:tcPr>
            <w:tcW w:w="808" w:type="pct"/>
            <w:tcBorders>
              <w:top w:val="nil"/>
              <w:left w:val="nil"/>
              <w:bottom w:val="single" w:color="auto" w:sz="4" w:space="0"/>
              <w:right w:val="single" w:color="000000" w:sz="4" w:space="0"/>
            </w:tcBorders>
            <w:shd w:val="clear"/>
            <w:tcMar>
              <w:top w:w="0" w:type="dxa"/>
              <w:left w:w="0" w:type="dxa"/>
              <w:bottom w:w="0" w:type="dxa"/>
              <w:right w:w="0" w:type="dxa"/>
            </w:tcMar>
            <w:vAlign w:val="center"/>
          </w:tcPr>
          <w:p w14:paraId="3C6A984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方正仿宋_GBK" w:hAnsi="方正仿宋_GBK" w:eastAsia="方正仿宋_GBK" w:cs="方正仿宋_GBK"/>
                <w:sz w:val="28"/>
                <w:szCs w:val="28"/>
                <w:bdr w:val="none" w:color="auto" w:sz="0" w:space="0"/>
              </w:rPr>
              <w:t>果园</w:t>
            </w:r>
          </w:p>
        </w:tc>
        <w:tc>
          <w:tcPr>
            <w:tcW w:w="607" w:type="pct"/>
            <w:tcBorders>
              <w:top w:val="nil"/>
              <w:left w:val="single" w:color="000000" w:sz="4" w:space="0"/>
              <w:bottom w:val="single" w:color="auto" w:sz="4" w:space="0"/>
              <w:right w:val="single" w:color="auto" w:sz="4" w:space="0"/>
            </w:tcBorders>
            <w:shd w:val="clear"/>
            <w:tcMar>
              <w:top w:w="0" w:type="dxa"/>
              <w:left w:w="0" w:type="dxa"/>
              <w:bottom w:w="0" w:type="dxa"/>
              <w:right w:w="0" w:type="dxa"/>
            </w:tcMar>
            <w:vAlign w:val="center"/>
          </w:tcPr>
          <w:p w14:paraId="69E57AC7">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58</w:t>
            </w:r>
          </w:p>
        </w:tc>
        <w:tc>
          <w:tcPr>
            <w:tcW w:w="645" w:type="pct"/>
            <w:tcBorders>
              <w:top w:val="nil"/>
              <w:left w:val="nil"/>
              <w:bottom w:val="single" w:color="auto" w:sz="4" w:space="0"/>
              <w:right w:val="single" w:color="000000" w:sz="4" w:space="0"/>
            </w:tcBorders>
            <w:shd w:val="clear"/>
            <w:tcMar>
              <w:top w:w="0" w:type="dxa"/>
              <w:left w:w="0" w:type="dxa"/>
              <w:bottom w:w="0" w:type="dxa"/>
              <w:right w:w="0" w:type="dxa"/>
            </w:tcMar>
            <w:vAlign w:val="center"/>
          </w:tcPr>
          <w:p w14:paraId="6D20DF8F">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3.85</w:t>
            </w:r>
          </w:p>
        </w:tc>
        <w:tc>
          <w:tcPr>
            <w:tcW w:w="582" w:type="pct"/>
            <w:tcBorders>
              <w:top w:val="nil"/>
              <w:left w:val="single" w:color="000000" w:sz="4" w:space="0"/>
              <w:bottom w:val="single" w:color="auto" w:sz="4" w:space="0"/>
              <w:right w:val="single" w:color="auto" w:sz="4" w:space="0"/>
            </w:tcBorders>
            <w:shd w:val="clear"/>
            <w:tcMar>
              <w:top w:w="0" w:type="dxa"/>
              <w:left w:w="0" w:type="dxa"/>
              <w:bottom w:w="0" w:type="dxa"/>
              <w:right w:w="0" w:type="dxa"/>
            </w:tcMar>
            <w:vAlign w:val="center"/>
          </w:tcPr>
          <w:p w14:paraId="301EA907">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w:t>
            </w:r>
          </w:p>
        </w:tc>
        <w:tc>
          <w:tcPr>
            <w:tcW w:w="653" w:type="pct"/>
            <w:tcBorders>
              <w:top w:val="nil"/>
              <w:left w:val="nil"/>
              <w:bottom w:val="single" w:color="auto" w:sz="4" w:space="0"/>
              <w:right w:val="single" w:color="000000" w:sz="4" w:space="0"/>
            </w:tcBorders>
            <w:shd w:val="clear"/>
            <w:tcMar>
              <w:top w:w="0" w:type="dxa"/>
              <w:left w:w="0" w:type="dxa"/>
              <w:bottom w:w="0" w:type="dxa"/>
              <w:right w:w="0" w:type="dxa"/>
            </w:tcMar>
            <w:vAlign w:val="center"/>
          </w:tcPr>
          <w:p w14:paraId="7F72D27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w:t>
            </w:r>
          </w:p>
        </w:tc>
        <w:tc>
          <w:tcPr>
            <w:tcW w:w="563" w:type="pct"/>
            <w:tcBorders>
              <w:top w:val="nil"/>
              <w:left w:val="single" w:color="000000" w:sz="4" w:space="0"/>
              <w:bottom w:val="single" w:color="auto" w:sz="4" w:space="0"/>
              <w:right w:val="single" w:color="auto" w:sz="4" w:space="0"/>
            </w:tcBorders>
            <w:shd w:val="clear"/>
            <w:tcMar>
              <w:top w:w="0" w:type="dxa"/>
              <w:left w:w="0" w:type="dxa"/>
              <w:bottom w:w="0" w:type="dxa"/>
              <w:right w:w="0" w:type="dxa"/>
            </w:tcMar>
            <w:vAlign w:val="center"/>
          </w:tcPr>
          <w:p w14:paraId="3226D44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w:t>
            </w:r>
          </w:p>
        </w:tc>
        <w:tc>
          <w:tcPr>
            <w:tcW w:w="558" w:type="pct"/>
            <w:tcBorders>
              <w:top w:val="single" w:color="000000" w:sz="4" w:space="0"/>
              <w:left w:val="nil"/>
              <w:bottom w:val="single" w:color="auto" w:sz="4" w:space="0"/>
              <w:right w:val="single" w:color="000000" w:sz="4" w:space="0"/>
            </w:tcBorders>
            <w:shd w:val="clear"/>
            <w:tcMar>
              <w:top w:w="0" w:type="dxa"/>
              <w:left w:w="0" w:type="dxa"/>
              <w:bottom w:w="0" w:type="dxa"/>
              <w:right w:w="0" w:type="dxa"/>
            </w:tcMar>
            <w:vAlign w:val="center"/>
          </w:tcPr>
          <w:p w14:paraId="14ACB1DE">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w:t>
            </w:r>
          </w:p>
        </w:tc>
      </w:tr>
      <w:tr w14:paraId="7E1CAC39">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rPr>
          <w:trHeight w:val="688" w:hRule="atLeast"/>
          <w:jc w:val="center"/>
        </w:trPr>
        <w:tc>
          <w:tcPr>
            <w:tcW w:w="579" w:type="pct"/>
            <w:vMerge w:val="continue"/>
            <w:tcBorders>
              <w:top w:val="nil"/>
              <w:left w:val="single" w:color="000000" w:sz="4" w:space="0"/>
              <w:bottom w:val="single" w:color="000000" w:sz="4" w:space="0"/>
              <w:right w:val="single" w:color="auto" w:sz="4" w:space="0"/>
            </w:tcBorders>
            <w:shd w:val="clear"/>
            <w:tcMar>
              <w:top w:w="0" w:type="dxa"/>
              <w:left w:w="0" w:type="dxa"/>
              <w:bottom w:w="0" w:type="dxa"/>
              <w:right w:w="0" w:type="dxa"/>
            </w:tcMar>
            <w:vAlign w:val="center"/>
          </w:tcPr>
          <w:p w14:paraId="15EAE68E">
            <w:pPr>
              <w:rPr>
                <w:rFonts w:hint="default" w:ascii="Times New Roman" w:hAnsi="Times New Roman" w:cs="Times New Roman"/>
                <w:sz w:val="20"/>
                <w:szCs w:val="20"/>
              </w:rPr>
            </w:pPr>
          </w:p>
        </w:tc>
        <w:tc>
          <w:tcPr>
            <w:tcW w:w="808" w:type="pct"/>
            <w:tcBorders>
              <w:top w:val="nil"/>
              <w:left w:val="nil"/>
              <w:bottom w:val="single" w:color="auto" w:sz="4" w:space="0"/>
              <w:right w:val="single" w:color="000000" w:sz="4" w:space="0"/>
            </w:tcBorders>
            <w:shd w:val="clear"/>
            <w:tcMar>
              <w:top w:w="0" w:type="dxa"/>
              <w:left w:w="0" w:type="dxa"/>
              <w:bottom w:w="0" w:type="dxa"/>
              <w:right w:w="0" w:type="dxa"/>
            </w:tcMar>
            <w:vAlign w:val="center"/>
          </w:tcPr>
          <w:p w14:paraId="7A108F49">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方正仿宋_GBK" w:hAnsi="方正仿宋_GBK" w:eastAsia="方正仿宋_GBK" w:cs="方正仿宋_GBK"/>
                <w:sz w:val="28"/>
                <w:szCs w:val="28"/>
                <w:bdr w:val="none" w:color="auto" w:sz="0" w:space="0"/>
              </w:rPr>
              <w:t>茶园</w:t>
            </w:r>
          </w:p>
        </w:tc>
        <w:tc>
          <w:tcPr>
            <w:tcW w:w="607" w:type="pct"/>
            <w:tcBorders>
              <w:top w:val="nil"/>
              <w:left w:val="single" w:color="000000" w:sz="4" w:space="0"/>
              <w:bottom w:val="single" w:color="auto" w:sz="4" w:space="0"/>
              <w:right w:val="single" w:color="auto" w:sz="4" w:space="0"/>
            </w:tcBorders>
            <w:shd w:val="clear"/>
            <w:tcMar>
              <w:top w:w="0" w:type="dxa"/>
              <w:left w:w="0" w:type="dxa"/>
              <w:bottom w:w="0" w:type="dxa"/>
              <w:right w:w="0" w:type="dxa"/>
            </w:tcMar>
            <w:vAlign w:val="center"/>
          </w:tcPr>
          <w:p w14:paraId="35CFEDDC">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58</w:t>
            </w:r>
          </w:p>
        </w:tc>
        <w:tc>
          <w:tcPr>
            <w:tcW w:w="645" w:type="pct"/>
            <w:tcBorders>
              <w:top w:val="nil"/>
              <w:left w:val="nil"/>
              <w:bottom w:val="single" w:color="auto" w:sz="4" w:space="0"/>
              <w:right w:val="single" w:color="000000" w:sz="4" w:space="0"/>
            </w:tcBorders>
            <w:shd w:val="clear"/>
            <w:tcMar>
              <w:top w:w="0" w:type="dxa"/>
              <w:left w:w="0" w:type="dxa"/>
              <w:bottom w:w="0" w:type="dxa"/>
              <w:right w:w="0" w:type="dxa"/>
            </w:tcMar>
            <w:vAlign w:val="center"/>
          </w:tcPr>
          <w:p w14:paraId="3FF98835">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3.88</w:t>
            </w:r>
          </w:p>
        </w:tc>
        <w:tc>
          <w:tcPr>
            <w:tcW w:w="582" w:type="pct"/>
            <w:tcBorders>
              <w:top w:val="nil"/>
              <w:left w:val="single" w:color="000000" w:sz="4" w:space="0"/>
              <w:bottom w:val="single" w:color="auto" w:sz="4" w:space="0"/>
              <w:right w:val="single" w:color="auto" w:sz="4" w:space="0"/>
            </w:tcBorders>
            <w:shd w:val="clear"/>
            <w:tcMar>
              <w:top w:w="0" w:type="dxa"/>
              <w:left w:w="0" w:type="dxa"/>
              <w:bottom w:w="0" w:type="dxa"/>
              <w:right w:w="0" w:type="dxa"/>
            </w:tcMar>
            <w:vAlign w:val="center"/>
          </w:tcPr>
          <w:p w14:paraId="13BF556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47</w:t>
            </w:r>
          </w:p>
        </w:tc>
        <w:tc>
          <w:tcPr>
            <w:tcW w:w="653" w:type="pct"/>
            <w:tcBorders>
              <w:top w:val="nil"/>
              <w:left w:val="nil"/>
              <w:bottom w:val="single" w:color="auto" w:sz="4" w:space="0"/>
              <w:right w:val="single" w:color="000000" w:sz="4" w:space="0"/>
            </w:tcBorders>
            <w:shd w:val="clear"/>
            <w:tcMar>
              <w:top w:w="0" w:type="dxa"/>
              <w:left w:w="0" w:type="dxa"/>
              <w:bottom w:w="0" w:type="dxa"/>
              <w:right w:w="0" w:type="dxa"/>
            </w:tcMar>
            <w:vAlign w:val="center"/>
          </w:tcPr>
          <w:p w14:paraId="02324BA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3.11</w:t>
            </w:r>
          </w:p>
        </w:tc>
        <w:tc>
          <w:tcPr>
            <w:tcW w:w="563" w:type="pct"/>
            <w:tcBorders>
              <w:top w:val="nil"/>
              <w:left w:val="single" w:color="000000" w:sz="4" w:space="0"/>
              <w:bottom w:val="single" w:color="auto" w:sz="4" w:space="0"/>
              <w:right w:val="single" w:color="auto" w:sz="4" w:space="0"/>
            </w:tcBorders>
            <w:shd w:val="clear"/>
            <w:tcMar>
              <w:top w:w="0" w:type="dxa"/>
              <w:left w:w="0" w:type="dxa"/>
              <w:bottom w:w="0" w:type="dxa"/>
              <w:right w:w="0" w:type="dxa"/>
            </w:tcMar>
            <w:vAlign w:val="center"/>
          </w:tcPr>
          <w:p w14:paraId="614EA33C">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w:t>
            </w:r>
          </w:p>
        </w:tc>
        <w:tc>
          <w:tcPr>
            <w:tcW w:w="558" w:type="pct"/>
            <w:tcBorders>
              <w:top w:val="nil"/>
              <w:left w:val="nil"/>
              <w:bottom w:val="single" w:color="auto" w:sz="4" w:space="0"/>
              <w:right w:val="single" w:color="000000" w:sz="4" w:space="0"/>
            </w:tcBorders>
            <w:shd w:val="clear"/>
            <w:tcMar>
              <w:top w:w="0" w:type="dxa"/>
              <w:left w:w="0" w:type="dxa"/>
              <w:bottom w:w="0" w:type="dxa"/>
              <w:right w:w="0" w:type="dxa"/>
            </w:tcMar>
            <w:vAlign w:val="center"/>
          </w:tcPr>
          <w:p w14:paraId="021333D0">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w:t>
            </w:r>
          </w:p>
        </w:tc>
      </w:tr>
      <w:tr w14:paraId="57CF6EDA">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rPr>
          <w:trHeight w:val="727" w:hRule="atLeast"/>
          <w:jc w:val="center"/>
        </w:trPr>
        <w:tc>
          <w:tcPr>
            <w:tcW w:w="579" w:type="pct"/>
            <w:vMerge w:val="continue"/>
            <w:tcBorders>
              <w:top w:val="nil"/>
              <w:left w:val="single" w:color="000000" w:sz="4" w:space="0"/>
              <w:bottom w:val="single" w:color="000000" w:sz="4" w:space="0"/>
              <w:right w:val="single" w:color="auto" w:sz="4" w:space="0"/>
            </w:tcBorders>
            <w:shd w:val="clear"/>
            <w:tcMar>
              <w:top w:w="0" w:type="dxa"/>
              <w:left w:w="0" w:type="dxa"/>
              <w:bottom w:w="0" w:type="dxa"/>
              <w:right w:w="0" w:type="dxa"/>
            </w:tcMar>
            <w:vAlign w:val="center"/>
          </w:tcPr>
          <w:p w14:paraId="46FF58EF">
            <w:pPr>
              <w:rPr>
                <w:rFonts w:hint="default" w:ascii="Times New Roman" w:hAnsi="Times New Roman" w:cs="Times New Roman"/>
                <w:sz w:val="20"/>
                <w:szCs w:val="20"/>
              </w:rPr>
            </w:pPr>
          </w:p>
        </w:tc>
        <w:tc>
          <w:tcPr>
            <w:tcW w:w="808" w:type="pct"/>
            <w:tcBorders>
              <w:top w:val="nil"/>
              <w:left w:val="nil"/>
              <w:bottom w:val="single" w:color="000000" w:sz="4" w:space="0"/>
              <w:right w:val="single" w:color="000000" w:sz="4" w:space="0"/>
            </w:tcBorders>
            <w:shd w:val="clear"/>
            <w:tcMar>
              <w:top w:w="0" w:type="dxa"/>
              <w:left w:w="0" w:type="dxa"/>
              <w:bottom w:w="0" w:type="dxa"/>
              <w:right w:w="0" w:type="dxa"/>
            </w:tcMar>
            <w:vAlign w:val="center"/>
          </w:tcPr>
          <w:p w14:paraId="48FC036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方正仿宋_GBK" w:hAnsi="方正仿宋_GBK" w:eastAsia="方正仿宋_GBK" w:cs="方正仿宋_GBK"/>
                <w:sz w:val="28"/>
                <w:szCs w:val="28"/>
                <w:bdr w:val="none" w:color="auto" w:sz="0" w:space="0"/>
              </w:rPr>
              <w:t>其他园地</w:t>
            </w:r>
          </w:p>
        </w:tc>
        <w:tc>
          <w:tcPr>
            <w:tcW w:w="607" w:type="pct"/>
            <w:tcBorders>
              <w:top w:val="nil"/>
              <w:left w:val="single" w:color="000000" w:sz="4" w:space="0"/>
              <w:bottom w:val="single" w:color="000000" w:sz="4" w:space="0"/>
              <w:right w:val="single" w:color="auto" w:sz="4" w:space="0"/>
            </w:tcBorders>
            <w:shd w:val="clear"/>
            <w:tcMar>
              <w:top w:w="0" w:type="dxa"/>
              <w:left w:w="0" w:type="dxa"/>
              <w:bottom w:w="0" w:type="dxa"/>
              <w:right w:w="0" w:type="dxa"/>
            </w:tcMar>
            <w:vAlign w:val="center"/>
          </w:tcPr>
          <w:p w14:paraId="5CA3039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57</w:t>
            </w:r>
          </w:p>
        </w:tc>
        <w:tc>
          <w:tcPr>
            <w:tcW w:w="645" w:type="pct"/>
            <w:tcBorders>
              <w:top w:val="nil"/>
              <w:left w:val="nil"/>
              <w:bottom w:val="single" w:color="000000" w:sz="4" w:space="0"/>
              <w:right w:val="single" w:color="000000" w:sz="4" w:space="0"/>
            </w:tcBorders>
            <w:shd w:val="clear"/>
            <w:tcMar>
              <w:top w:w="0" w:type="dxa"/>
              <w:left w:w="0" w:type="dxa"/>
              <w:bottom w:w="0" w:type="dxa"/>
              <w:right w:w="0" w:type="dxa"/>
            </w:tcMar>
            <w:vAlign w:val="center"/>
          </w:tcPr>
          <w:p w14:paraId="0B7324A7">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3.82</w:t>
            </w:r>
          </w:p>
        </w:tc>
        <w:tc>
          <w:tcPr>
            <w:tcW w:w="582" w:type="pct"/>
            <w:tcBorders>
              <w:top w:val="nil"/>
              <w:left w:val="single" w:color="000000" w:sz="4" w:space="0"/>
              <w:bottom w:val="single" w:color="000000" w:sz="4" w:space="0"/>
              <w:right w:val="single" w:color="auto" w:sz="4" w:space="0"/>
            </w:tcBorders>
            <w:shd w:val="clear"/>
            <w:tcMar>
              <w:top w:w="0" w:type="dxa"/>
              <w:left w:w="0" w:type="dxa"/>
              <w:bottom w:w="0" w:type="dxa"/>
              <w:right w:w="0" w:type="dxa"/>
            </w:tcMar>
            <w:vAlign w:val="center"/>
          </w:tcPr>
          <w:p w14:paraId="42E72D4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43</w:t>
            </w:r>
          </w:p>
        </w:tc>
        <w:tc>
          <w:tcPr>
            <w:tcW w:w="653" w:type="pct"/>
            <w:tcBorders>
              <w:top w:val="nil"/>
              <w:left w:val="nil"/>
              <w:bottom w:val="single" w:color="000000" w:sz="4" w:space="0"/>
              <w:right w:val="single" w:color="000000" w:sz="4" w:space="0"/>
            </w:tcBorders>
            <w:shd w:val="clear"/>
            <w:tcMar>
              <w:top w:w="0" w:type="dxa"/>
              <w:left w:w="0" w:type="dxa"/>
              <w:bottom w:w="0" w:type="dxa"/>
              <w:right w:w="0" w:type="dxa"/>
            </w:tcMar>
            <w:vAlign w:val="center"/>
          </w:tcPr>
          <w:p w14:paraId="359B669D">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2.89</w:t>
            </w:r>
          </w:p>
        </w:tc>
        <w:tc>
          <w:tcPr>
            <w:tcW w:w="563" w:type="pct"/>
            <w:tcBorders>
              <w:top w:val="nil"/>
              <w:left w:val="single" w:color="000000" w:sz="4" w:space="0"/>
              <w:bottom w:val="single" w:color="000000" w:sz="4" w:space="0"/>
              <w:right w:val="single" w:color="auto" w:sz="4" w:space="0"/>
            </w:tcBorders>
            <w:shd w:val="clear"/>
            <w:tcMar>
              <w:top w:w="0" w:type="dxa"/>
              <w:left w:w="0" w:type="dxa"/>
              <w:bottom w:w="0" w:type="dxa"/>
              <w:right w:w="0" w:type="dxa"/>
            </w:tcMar>
            <w:vAlign w:val="center"/>
          </w:tcPr>
          <w:p w14:paraId="04DCAC4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w:t>
            </w:r>
          </w:p>
        </w:tc>
        <w:tc>
          <w:tcPr>
            <w:tcW w:w="558" w:type="pct"/>
            <w:tcBorders>
              <w:top w:val="nil"/>
              <w:left w:val="nil"/>
              <w:bottom w:val="single" w:color="000000" w:sz="4" w:space="0"/>
              <w:right w:val="single" w:color="000000" w:sz="4" w:space="0"/>
            </w:tcBorders>
            <w:shd w:val="clear"/>
            <w:tcMar>
              <w:top w:w="0" w:type="dxa"/>
              <w:left w:w="0" w:type="dxa"/>
              <w:bottom w:w="0" w:type="dxa"/>
              <w:right w:w="0" w:type="dxa"/>
            </w:tcMar>
            <w:vAlign w:val="center"/>
          </w:tcPr>
          <w:p w14:paraId="62D6C1E8">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w:t>
            </w:r>
          </w:p>
        </w:tc>
      </w:tr>
      <w:tr w14:paraId="73A090B9">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rPr>
          <w:trHeight w:val="673" w:hRule="atLeast"/>
          <w:jc w:val="center"/>
        </w:trPr>
        <w:tc>
          <w:tcPr>
            <w:tcW w:w="1387" w:type="pct"/>
            <w:gridSpan w:val="2"/>
            <w:tcBorders>
              <w:top w:val="nil"/>
              <w:left w:val="single" w:color="000000" w:sz="4" w:space="0"/>
              <w:bottom w:val="single" w:color="000000" w:sz="4" w:space="0"/>
              <w:right w:val="single" w:color="000000" w:sz="4" w:space="0"/>
            </w:tcBorders>
            <w:shd w:val="clear"/>
            <w:tcMar>
              <w:top w:w="0" w:type="dxa"/>
              <w:left w:w="0" w:type="dxa"/>
              <w:bottom w:w="0" w:type="dxa"/>
              <w:right w:w="0" w:type="dxa"/>
            </w:tcMar>
            <w:vAlign w:val="center"/>
          </w:tcPr>
          <w:p w14:paraId="398036C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方正仿宋_GBK" w:hAnsi="方正仿宋_GBK" w:eastAsia="方正仿宋_GBK" w:cs="方正仿宋_GBK"/>
                <w:sz w:val="28"/>
                <w:szCs w:val="28"/>
                <w:bdr w:val="none" w:color="auto" w:sz="0" w:space="0"/>
              </w:rPr>
              <w:t>林地</w:t>
            </w:r>
          </w:p>
        </w:tc>
        <w:tc>
          <w:tcPr>
            <w:tcW w:w="607" w:type="pct"/>
            <w:tcBorders>
              <w:top w:val="nil"/>
              <w:left w:val="single" w:color="000000" w:sz="4" w:space="0"/>
              <w:bottom w:val="single" w:color="000000" w:sz="4" w:space="0"/>
              <w:right w:val="single" w:color="auto" w:sz="4" w:space="0"/>
            </w:tcBorders>
            <w:shd w:val="clear"/>
            <w:tcMar>
              <w:top w:w="0" w:type="dxa"/>
              <w:left w:w="0" w:type="dxa"/>
              <w:bottom w:w="0" w:type="dxa"/>
              <w:right w:w="0" w:type="dxa"/>
            </w:tcMar>
            <w:vAlign w:val="center"/>
          </w:tcPr>
          <w:p w14:paraId="211586F3">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54</w:t>
            </w:r>
          </w:p>
        </w:tc>
        <w:tc>
          <w:tcPr>
            <w:tcW w:w="645" w:type="pct"/>
            <w:tcBorders>
              <w:top w:val="nil"/>
              <w:left w:val="nil"/>
              <w:bottom w:val="single" w:color="000000" w:sz="4" w:space="0"/>
              <w:right w:val="single" w:color="000000" w:sz="4" w:space="0"/>
            </w:tcBorders>
            <w:shd w:val="clear"/>
            <w:tcMar>
              <w:top w:w="0" w:type="dxa"/>
              <w:left w:w="0" w:type="dxa"/>
              <w:bottom w:w="0" w:type="dxa"/>
              <w:right w:w="0" w:type="dxa"/>
            </w:tcMar>
            <w:vAlign w:val="center"/>
          </w:tcPr>
          <w:p w14:paraId="76F4FCCC">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3.58</w:t>
            </w:r>
          </w:p>
        </w:tc>
        <w:tc>
          <w:tcPr>
            <w:tcW w:w="582" w:type="pct"/>
            <w:tcBorders>
              <w:top w:val="nil"/>
              <w:left w:val="single" w:color="000000" w:sz="4" w:space="0"/>
              <w:bottom w:val="single" w:color="000000" w:sz="4" w:space="0"/>
              <w:right w:val="single" w:color="auto" w:sz="4" w:space="0"/>
            </w:tcBorders>
            <w:shd w:val="clear"/>
            <w:tcMar>
              <w:top w:w="0" w:type="dxa"/>
              <w:left w:w="0" w:type="dxa"/>
              <w:bottom w:w="0" w:type="dxa"/>
              <w:right w:w="0" w:type="dxa"/>
            </w:tcMar>
            <w:vAlign w:val="center"/>
          </w:tcPr>
          <w:p w14:paraId="49FBBB80">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42</w:t>
            </w:r>
          </w:p>
        </w:tc>
        <w:tc>
          <w:tcPr>
            <w:tcW w:w="653" w:type="pct"/>
            <w:tcBorders>
              <w:top w:val="nil"/>
              <w:left w:val="nil"/>
              <w:bottom w:val="single" w:color="000000" w:sz="4" w:space="0"/>
              <w:right w:val="single" w:color="000000" w:sz="4" w:space="0"/>
            </w:tcBorders>
            <w:shd w:val="clear"/>
            <w:tcMar>
              <w:top w:w="0" w:type="dxa"/>
              <w:left w:w="0" w:type="dxa"/>
              <w:bottom w:w="0" w:type="dxa"/>
              <w:right w:w="0" w:type="dxa"/>
            </w:tcMar>
            <w:vAlign w:val="center"/>
          </w:tcPr>
          <w:p w14:paraId="06C95976">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2.79</w:t>
            </w:r>
          </w:p>
        </w:tc>
        <w:tc>
          <w:tcPr>
            <w:tcW w:w="563" w:type="pct"/>
            <w:tcBorders>
              <w:top w:val="nil"/>
              <w:left w:val="single" w:color="000000" w:sz="4" w:space="0"/>
              <w:bottom w:val="single" w:color="000000" w:sz="4" w:space="0"/>
              <w:right w:val="single" w:color="auto" w:sz="4" w:space="0"/>
            </w:tcBorders>
            <w:shd w:val="clear"/>
            <w:tcMar>
              <w:top w:w="0" w:type="dxa"/>
              <w:left w:w="0" w:type="dxa"/>
              <w:bottom w:w="0" w:type="dxa"/>
              <w:right w:w="0" w:type="dxa"/>
            </w:tcMar>
            <w:vAlign w:val="center"/>
          </w:tcPr>
          <w:p w14:paraId="75713C88">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34</w:t>
            </w:r>
          </w:p>
        </w:tc>
        <w:tc>
          <w:tcPr>
            <w:tcW w:w="558" w:type="pct"/>
            <w:tcBorders>
              <w:top w:val="nil"/>
              <w:left w:val="nil"/>
              <w:bottom w:val="single" w:color="000000" w:sz="4" w:space="0"/>
              <w:right w:val="single" w:color="000000" w:sz="4" w:space="0"/>
            </w:tcBorders>
            <w:shd w:val="clear"/>
            <w:tcMar>
              <w:top w:w="0" w:type="dxa"/>
              <w:left w:w="0" w:type="dxa"/>
              <w:bottom w:w="0" w:type="dxa"/>
              <w:right w:w="0" w:type="dxa"/>
            </w:tcMar>
            <w:vAlign w:val="center"/>
          </w:tcPr>
          <w:p w14:paraId="73B64477">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2.26</w:t>
            </w:r>
          </w:p>
        </w:tc>
      </w:tr>
      <w:tr w14:paraId="6B48088F">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0" w:type="dxa"/>
            <w:left w:w="0" w:type="dxa"/>
            <w:bottom w:w="0" w:type="dxa"/>
            <w:right w:w="0" w:type="dxa"/>
          </w:tblCellMar>
        </w:tblPrEx>
        <w:trPr>
          <w:trHeight w:val="688" w:hRule="atLeast"/>
          <w:jc w:val="center"/>
        </w:trPr>
        <w:tc>
          <w:tcPr>
            <w:tcW w:w="1387" w:type="pct"/>
            <w:gridSpan w:val="2"/>
            <w:tcBorders>
              <w:top w:val="nil"/>
              <w:left w:val="single" w:color="000000" w:sz="4" w:space="0"/>
              <w:bottom w:val="single" w:color="000000" w:sz="4" w:space="0"/>
              <w:right w:val="single" w:color="000000" w:sz="4" w:space="0"/>
            </w:tcBorders>
            <w:shd w:val="clear"/>
            <w:tcMar>
              <w:top w:w="0" w:type="dxa"/>
              <w:left w:w="0" w:type="dxa"/>
              <w:bottom w:w="0" w:type="dxa"/>
              <w:right w:w="0" w:type="dxa"/>
            </w:tcMar>
            <w:vAlign w:val="center"/>
          </w:tcPr>
          <w:p w14:paraId="6A593D3C">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方正仿宋_GBK" w:hAnsi="方正仿宋_GBK" w:eastAsia="方正仿宋_GBK" w:cs="方正仿宋_GBK"/>
                <w:sz w:val="28"/>
                <w:szCs w:val="28"/>
                <w:bdr w:val="none" w:color="auto" w:sz="0" w:space="0"/>
              </w:rPr>
              <w:t>草地</w:t>
            </w:r>
          </w:p>
        </w:tc>
        <w:tc>
          <w:tcPr>
            <w:tcW w:w="607" w:type="pct"/>
            <w:tcBorders>
              <w:top w:val="nil"/>
              <w:left w:val="single" w:color="000000" w:sz="4" w:space="0"/>
              <w:bottom w:val="single" w:color="000000" w:sz="4" w:space="0"/>
              <w:right w:val="single" w:color="auto" w:sz="4" w:space="0"/>
            </w:tcBorders>
            <w:shd w:val="clear"/>
            <w:tcMar>
              <w:top w:w="0" w:type="dxa"/>
              <w:left w:w="0" w:type="dxa"/>
              <w:bottom w:w="0" w:type="dxa"/>
              <w:right w:w="0" w:type="dxa"/>
            </w:tcMar>
            <w:vAlign w:val="center"/>
          </w:tcPr>
          <w:p w14:paraId="61294E64">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13</w:t>
            </w:r>
          </w:p>
        </w:tc>
        <w:tc>
          <w:tcPr>
            <w:tcW w:w="645" w:type="pct"/>
            <w:tcBorders>
              <w:top w:val="nil"/>
              <w:left w:val="nil"/>
              <w:bottom w:val="single" w:color="000000" w:sz="4" w:space="0"/>
              <w:right w:val="single" w:color="000000" w:sz="4" w:space="0"/>
            </w:tcBorders>
            <w:shd w:val="clear"/>
            <w:tcMar>
              <w:top w:w="0" w:type="dxa"/>
              <w:left w:w="0" w:type="dxa"/>
              <w:bottom w:w="0" w:type="dxa"/>
              <w:right w:w="0" w:type="dxa"/>
            </w:tcMar>
            <w:vAlign w:val="center"/>
          </w:tcPr>
          <w:p w14:paraId="750A1416">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0.89</w:t>
            </w:r>
          </w:p>
        </w:tc>
        <w:tc>
          <w:tcPr>
            <w:tcW w:w="582" w:type="pct"/>
            <w:tcBorders>
              <w:top w:val="nil"/>
              <w:left w:val="single" w:color="000000" w:sz="4" w:space="0"/>
              <w:bottom w:val="single" w:color="000000" w:sz="4" w:space="0"/>
              <w:right w:val="single" w:color="auto" w:sz="4" w:space="0"/>
            </w:tcBorders>
            <w:shd w:val="clear"/>
            <w:tcMar>
              <w:top w:w="0" w:type="dxa"/>
              <w:left w:w="0" w:type="dxa"/>
              <w:bottom w:w="0" w:type="dxa"/>
              <w:right w:w="0" w:type="dxa"/>
            </w:tcMar>
            <w:vAlign w:val="center"/>
          </w:tcPr>
          <w:p w14:paraId="1D823F3B">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w:t>
            </w:r>
          </w:p>
        </w:tc>
        <w:tc>
          <w:tcPr>
            <w:tcW w:w="653" w:type="pct"/>
            <w:tcBorders>
              <w:top w:val="nil"/>
              <w:left w:val="nil"/>
              <w:bottom w:val="single" w:color="000000" w:sz="4" w:space="0"/>
              <w:right w:val="single" w:color="000000" w:sz="4" w:space="0"/>
            </w:tcBorders>
            <w:shd w:val="clear"/>
            <w:tcMar>
              <w:top w:w="0" w:type="dxa"/>
              <w:left w:w="0" w:type="dxa"/>
              <w:bottom w:w="0" w:type="dxa"/>
              <w:right w:w="0" w:type="dxa"/>
            </w:tcMar>
            <w:vAlign w:val="center"/>
          </w:tcPr>
          <w:p w14:paraId="2687B0D1">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w:t>
            </w:r>
          </w:p>
        </w:tc>
        <w:tc>
          <w:tcPr>
            <w:tcW w:w="563" w:type="pct"/>
            <w:tcBorders>
              <w:top w:val="nil"/>
              <w:left w:val="single" w:color="000000" w:sz="4" w:space="0"/>
              <w:bottom w:val="single" w:color="000000" w:sz="4" w:space="0"/>
              <w:right w:val="single" w:color="auto" w:sz="4" w:space="0"/>
            </w:tcBorders>
            <w:shd w:val="clear"/>
            <w:tcMar>
              <w:top w:w="0" w:type="dxa"/>
              <w:left w:w="0" w:type="dxa"/>
              <w:bottom w:w="0" w:type="dxa"/>
              <w:right w:w="0" w:type="dxa"/>
            </w:tcMar>
            <w:vAlign w:val="center"/>
          </w:tcPr>
          <w:p w14:paraId="15F8368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w:t>
            </w:r>
          </w:p>
        </w:tc>
        <w:tc>
          <w:tcPr>
            <w:tcW w:w="558" w:type="pct"/>
            <w:tcBorders>
              <w:top w:val="nil"/>
              <w:left w:val="nil"/>
              <w:bottom w:val="single" w:color="000000" w:sz="4" w:space="0"/>
              <w:right w:val="single" w:color="000000" w:sz="4" w:space="0"/>
            </w:tcBorders>
            <w:shd w:val="clear"/>
            <w:tcMar>
              <w:top w:w="0" w:type="dxa"/>
              <w:left w:w="0" w:type="dxa"/>
              <w:bottom w:w="0" w:type="dxa"/>
              <w:right w:w="0" w:type="dxa"/>
            </w:tcMar>
            <w:vAlign w:val="center"/>
          </w:tcPr>
          <w:p w14:paraId="3A20C822">
            <w:pPr>
              <w:pStyle w:val="2"/>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firstLine="0"/>
              <w:jc w:val="center"/>
              <w:rPr>
                <w:rFonts w:hint="default" w:ascii="Calibri" w:hAnsi="Calibri" w:cs="Calibri"/>
                <w:sz w:val="21"/>
                <w:szCs w:val="21"/>
              </w:rPr>
            </w:pPr>
            <w:r>
              <w:rPr>
                <w:rFonts w:hint="default" w:ascii="Times New Roman" w:hAnsi="Times New Roman" w:cs="Times New Roman"/>
                <w:sz w:val="28"/>
                <w:szCs w:val="28"/>
                <w:bdr w:val="none" w:color="auto" w:sz="0" w:space="0"/>
              </w:rPr>
              <w:t>/</w:t>
            </w:r>
          </w:p>
        </w:tc>
      </w:tr>
    </w:tbl>
    <w:p w14:paraId="62E08A9D">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Calibri" w:hAnsi="Calibri" w:cs="Calibri"/>
          <w:i w:val="0"/>
          <w:iCs w:val="0"/>
          <w:caps w:val="0"/>
          <w:color w:val="333333"/>
          <w:spacing w:val="0"/>
          <w:sz w:val="21"/>
          <w:szCs w:val="21"/>
        </w:rPr>
      </w:pPr>
      <w:r>
        <w:rPr>
          <w:rFonts w:hint="default" w:ascii="Calibri" w:hAnsi="Calibri" w:cs="Calibri"/>
          <w:i w:val="0"/>
          <w:iCs w:val="0"/>
          <w:caps w:val="0"/>
          <w:color w:val="333333"/>
          <w:spacing w:val="0"/>
          <w:sz w:val="21"/>
          <w:szCs w:val="21"/>
          <w:bdr w:val="none" w:color="auto" w:sz="0" w:space="0"/>
          <w:shd w:val="clear" w:fill="FFFFFF"/>
        </w:rPr>
        <w:t> </w:t>
      </w:r>
    </w:p>
    <w:p w14:paraId="2514367F">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Calibri" w:hAnsi="Calibri" w:cs="Calibri"/>
          <w:i w:val="0"/>
          <w:iCs w:val="0"/>
          <w:caps w:val="0"/>
          <w:color w:val="333333"/>
          <w:spacing w:val="0"/>
          <w:sz w:val="21"/>
          <w:szCs w:val="21"/>
        </w:rPr>
      </w:pPr>
      <w:r>
        <w:rPr>
          <w:rFonts w:hint="default" w:ascii="Calibri" w:hAnsi="Calibri" w:cs="Calibri"/>
          <w:i w:val="0"/>
          <w:iCs w:val="0"/>
          <w:caps w:val="0"/>
          <w:color w:val="333333"/>
          <w:spacing w:val="0"/>
          <w:sz w:val="21"/>
          <w:szCs w:val="21"/>
          <w:bdr w:val="none" w:color="auto" w:sz="0" w:space="0"/>
          <w:shd w:val="clear" w:fill="FFFFFF"/>
        </w:rPr>
        <w:t> </w:t>
      </w:r>
    </w:p>
    <w:p w14:paraId="24C012A3">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Calibri" w:hAnsi="Calibri" w:cs="Calibri"/>
          <w:i w:val="0"/>
          <w:iCs w:val="0"/>
          <w:caps w:val="0"/>
          <w:color w:val="333333"/>
          <w:spacing w:val="0"/>
          <w:sz w:val="21"/>
          <w:szCs w:val="21"/>
        </w:rPr>
      </w:pPr>
      <w:r>
        <w:rPr>
          <w:rFonts w:hint="default" w:ascii="Calibri" w:hAnsi="Calibri" w:cs="Calibri"/>
          <w:i w:val="0"/>
          <w:iCs w:val="0"/>
          <w:caps w:val="0"/>
          <w:color w:val="333333"/>
          <w:spacing w:val="0"/>
          <w:sz w:val="21"/>
          <w:szCs w:val="21"/>
          <w:bdr w:val="none" w:color="auto" w:sz="0" w:space="0"/>
          <w:shd w:val="clear" w:fill="FFFFFF"/>
        </w:rPr>
        <w:t> </w:t>
      </w:r>
    </w:p>
    <w:p w14:paraId="4CEBD6B8">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Calibri" w:hAnsi="Calibri" w:cs="Calibri"/>
          <w:i w:val="0"/>
          <w:iCs w:val="0"/>
          <w:caps w:val="0"/>
          <w:color w:val="333333"/>
          <w:spacing w:val="0"/>
          <w:sz w:val="21"/>
          <w:szCs w:val="21"/>
        </w:rPr>
      </w:pPr>
      <w:r>
        <w:rPr>
          <w:rFonts w:hint="default" w:ascii="Calibri" w:hAnsi="Calibri" w:cs="Calibri"/>
          <w:i w:val="0"/>
          <w:iCs w:val="0"/>
          <w:caps w:val="0"/>
          <w:color w:val="333333"/>
          <w:spacing w:val="0"/>
          <w:sz w:val="21"/>
          <w:szCs w:val="21"/>
          <w:bdr w:val="none" w:color="auto" w:sz="0" w:space="0"/>
          <w:shd w:val="clear" w:fill="FFFFFF"/>
        </w:rPr>
        <w:t> </w:t>
      </w:r>
    </w:p>
    <w:p w14:paraId="0C0D360B">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Calibri" w:hAnsi="Calibri" w:cs="Calibri"/>
          <w:i w:val="0"/>
          <w:iCs w:val="0"/>
          <w:caps w:val="0"/>
          <w:color w:val="333333"/>
          <w:spacing w:val="0"/>
          <w:sz w:val="21"/>
          <w:szCs w:val="21"/>
        </w:rPr>
      </w:pPr>
      <w:r>
        <w:rPr>
          <w:rFonts w:hint="default" w:ascii="Calibri" w:hAnsi="Calibri" w:cs="Calibri"/>
          <w:i w:val="0"/>
          <w:iCs w:val="0"/>
          <w:caps w:val="0"/>
          <w:color w:val="333333"/>
          <w:spacing w:val="0"/>
          <w:sz w:val="21"/>
          <w:szCs w:val="21"/>
          <w:bdr w:val="none" w:color="auto" w:sz="0" w:space="0"/>
          <w:shd w:val="clear" w:fill="FFFFFF"/>
        </w:rPr>
        <w:t> </w:t>
      </w:r>
    </w:p>
    <w:tbl>
      <w:tblPr>
        <w:tblW w:w="0" w:type="auto"/>
        <w:tblInd w:w="0" w:type="dxa"/>
        <w:tblBorders>
          <w:top w:val="none" w:color="auto" w:sz="0" w:space="0"/>
          <w:left w:val="none" w:color="auto" w:sz="0" w:space="0"/>
          <w:bottom w:val="single" w:color="E5E5E5" w:sz="4" w:space="0"/>
          <w:right w:val="single" w:color="E5E5E5" w:sz="4" w:space="0"/>
          <w:insideH w:val="none" w:color="auto" w:sz="0" w:space="0"/>
          <w:insideV w:val="none" w:color="auto" w:sz="0" w:space="0"/>
        </w:tblBorders>
        <w:shd w:val="clear"/>
        <w:tblLayout w:type="fixed"/>
        <w:tblCellMar>
          <w:top w:w="0" w:type="dxa"/>
          <w:left w:w="0" w:type="dxa"/>
          <w:bottom w:w="0" w:type="dxa"/>
          <w:right w:w="0" w:type="dxa"/>
        </w:tblCellMar>
      </w:tblPr>
      <w:tblGrid>
        <w:gridCol w:w="1288"/>
        <w:gridCol w:w="90"/>
      </w:tblGrid>
      <w:tr w14:paraId="6057415D">
        <w:tblPrEx>
          <w:tblBorders>
            <w:top w:val="none" w:color="auto" w:sz="0" w:space="0"/>
            <w:left w:val="none" w:color="auto" w:sz="0" w:space="0"/>
            <w:bottom w:val="single" w:color="E5E5E5" w:sz="4" w:space="0"/>
            <w:right w:val="single" w:color="E5E5E5" w:sz="4" w:space="0"/>
            <w:insideH w:val="none" w:color="auto" w:sz="0" w:space="0"/>
            <w:insideV w:val="none" w:color="auto" w:sz="0" w:space="0"/>
          </w:tblBorders>
          <w:tblCellMar>
            <w:top w:w="0" w:type="dxa"/>
            <w:left w:w="0" w:type="dxa"/>
            <w:bottom w:w="0" w:type="dxa"/>
            <w:right w:w="0" w:type="dxa"/>
          </w:tblCellMar>
        </w:tblPrEx>
        <w:trPr>
          <w:gridAfter w:val="1"/>
          <w:wAfter w:w="90" w:type="dxa"/>
          <w:trHeight w:val="0" w:hRule="atLeast"/>
        </w:trPr>
        <w:tc>
          <w:tcPr>
            <w:tcW w:w="1288" w:type="dxa"/>
            <w:shd w:val="clear"/>
            <w:vAlign w:val="center"/>
          </w:tcPr>
          <w:p w14:paraId="60B4E69E">
            <w:pPr>
              <w:rPr>
                <w:rFonts w:hint="default" w:ascii="宋体" w:eastAsia="宋体"/>
                <w:sz w:val="24"/>
                <w:szCs w:val="24"/>
                <w:lang w:val="en-US" w:eastAsia="zh-CN"/>
              </w:rPr>
            </w:pPr>
            <w:r>
              <w:rPr>
                <w:rFonts w:hint="eastAsia" w:ascii="宋体"/>
                <w:sz w:val="24"/>
                <w:szCs w:val="24"/>
                <w:lang w:val="en-US" w:eastAsia="zh-CN"/>
              </w:rPr>
              <w:t>附件2</w:t>
            </w:r>
          </w:p>
          <w:p w14:paraId="30C6DD95">
            <w:pPr>
              <w:rPr>
                <w:rFonts w:hint="eastAsia" w:ascii="宋体" w:eastAsia="宋体"/>
                <w:sz w:val="24"/>
                <w:szCs w:val="24"/>
                <w:lang w:val="en-US" w:eastAsia="zh-CN"/>
              </w:rPr>
            </w:pPr>
          </w:p>
        </w:tc>
      </w:tr>
      <w:tr w14:paraId="1BF31618">
        <w:tblPrEx>
          <w:tblBorders>
            <w:top w:val="none" w:color="auto" w:sz="0" w:space="0"/>
            <w:left w:val="none" w:color="auto" w:sz="0" w:space="0"/>
            <w:bottom w:val="single" w:color="E5E5E5" w:sz="4" w:space="0"/>
            <w:right w:val="single" w:color="E5E5E5" w:sz="4" w:space="0"/>
            <w:insideH w:val="none" w:color="auto" w:sz="0" w:space="0"/>
            <w:insideV w:val="none" w:color="auto" w:sz="0" w:space="0"/>
          </w:tblBorders>
          <w:tblCellMar>
            <w:top w:w="0" w:type="dxa"/>
            <w:left w:w="0" w:type="dxa"/>
            <w:bottom w:w="0" w:type="dxa"/>
            <w:right w:w="0" w:type="dxa"/>
          </w:tblCellMar>
        </w:tblPrEx>
        <w:trPr>
          <w:trHeight w:val="0" w:hRule="atLeast"/>
        </w:trPr>
        <w:tc>
          <w:tcPr>
            <w:tcW w:w="1288" w:type="dxa"/>
            <w:shd w:val="clear"/>
            <w:vAlign w:val="center"/>
          </w:tcPr>
          <w:p w14:paraId="4235F898">
            <w:pPr>
              <w:rPr>
                <w:rFonts w:hint="eastAsia" w:ascii="宋体"/>
                <w:sz w:val="24"/>
                <w:szCs w:val="24"/>
              </w:rPr>
            </w:pPr>
          </w:p>
        </w:tc>
        <w:tc>
          <w:tcPr>
            <w:tcW w:w="90" w:type="dxa"/>
            <w:shd w:val="clear"/>
            <w:vAlign w:val="center"/>
          </w:tcPr>
          <w:p w14:paraId="18172F87">
            <w:pPr>
              <w:keepNext w:val="0"/>
              <w:keepLines w:val="0"/>
              <w:widowControl/>
              <w:suppressLineNumbers w:val="0"/>
              <w:spacing w:before="0" w:beforeAutospacing="0" w:after="0" w:afterAutospacing="0"/>
              <w:ind w:left="0" w:right="0"/>
              <w:jc w:val="left"/>
            </w:pPr>
            <w:r>
              <w:rPr>
                <w:rFonts w:ascii="宋体" w:hAnsi="宋体" w:eastAsia="宋体" w:cs="宋体"/>
                <w:kern w:val="0"/>
                <w:sz w:val="24"/>
                <w:szCs w:val="24"/>
                <w:bdr w:val="none" w:color="auto" w:sz="0" w:space="0"/>
                <w:lang w:val="en-US" w:eastAsia="zh-CN" w:bidi="ar"/>
              </w:rPr>
              <w:drawing>
                <wp:inline distT="0" distB="0" distL="114300" distR="114300">
                  <wp:extent cx="304800" cy="304800"/>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4"/>
                          <a:stretch>
                            <a:fillRect/>
                          </a:stretch>
                        </pic:blipFill>
                        <pic:spPr>
                          <a:xfrm>
                            <a:off x="0" y="0"/>
                            <a:ext cx="304800" cy="304800"/>
                          </a:xfrm>
                          <a:prstGeom prst="rect">
                            <a:avLst/>
                          </a:prstGeom>
                          <a:noFill/>
                          <a:ln w="9525">
                            <a:noFill/>
                          </a:ln>
                        </pic:spPr>
                      </pic:pic>
                    </a:graphicData>
                  </a:graphic>
                </wp:inline>
              </w:drawing>
            </w:r>
          </w:p>
        </w:tc>
      </w:tr>
    </w:tbl>
    <w:p w14:paraId="7CAC134E">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Calibri" w:hAnsi="Calibri" w:cs="Calibri"/>
          <w:i w:val="0"/>
          <w:iCs w:val="0"/>
          <w:caps w:val="0"/>
          <w:color w:val="333333"/>
          <w:spacing w:val="0"/>
          <w:sz w:val="21"/>
          <w:szCs w:val="21"/>
        </w:rPr>
      </w:pPr>
      <w:r>
        <w:rPr>
          <w:rFonts w:hint="default" w:ascii="Calibri" w:hAnsi="Calibri" w:cs="Calibri"/>
          <w:i w:val="0"/>
          <w:iCs w:val="0"/>
          <w:caps w:val="0"/>
          <w:color w:val="333333"/>
          <w:spacing w:val="0"/>
          <w:sz w:val="21"/>
          <w:szCs w:val="21"/>
          <w:bdr w:val="none" w:color="auto" w:sz="0" w:space="0"/>
          <w:shd w:val="clear" w:fill="FFFFFF"/>
        </w:rPr>
        <w:drawing>
          <wp:inline distT="0" distB="0" distL="114300" distR="114300">
            <wp:extent cx="5273040" cy="7452360"/>
            <wp:effectExtent l="0" t="0" r="0" b="0"/>
            <wp:docPr id="5"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IMG_257"/>
                    <pic:cNvPicPr>
                      <a:picLocks noChangeAspect="1"/>
                    </pic:cNvPicPr>
                  </pic:nvPicPr>
                  <pic:blipFill>
                    <a:blip r:embed="rId5"/>
                    <a:stretch>
                      <a:fillRect/>
                    </a:stretch>
                  </pic:blipFill>
                  <pic:spPr>
                    <a:xfrm>
                      <a:off x="0" y="0"/>
                      <a:ext cx="5273040" cy="7452360"/>
                    </a:xfrm>
                    <a:prstGeom prst="rect">
                      <a:avLst/>
                    </a:prstGeom>
                    <a:noFill/>
                    <a:ln w="9525">
                      <a:noFill/>
                    </a:ln>
                  </pic:spPr>
                </pic:pic>
              </a:graphicData>
            </a:graphic>
          </wp:inline>
        </w:drawing>
      </w:r>
    </w:p>
    <w:p w14:paraId="73C4DB14">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Calibri" w:hAnsi="Calibri" w:cs="Calibri"/>
          <w:i w:val="0"/>
          <w:iCs w:val="0"/>
          <w:caps w:val="0"/>
          <w:color w:val="333333"/>
          <w:spacing w:val="0"/>
          <w:sz w:val="21"/>
          <w:szCs w:val="21"/>
        </w:rPr>
      </w:pPr>
      <w:r>
        <w:rPr>
          <w:rFonts w:hint="default" w:ascii="Calibri" w:hAnsi="Calibri" w:cs="Calibri"/>
          <w:i w:val="0"/>
          <w:iCs w:val="0"/>
          <w:caps w:val="0"/>
          <w:color w:val="333333"/>
          <w:spacing w:val="0"/>
          <w:sz w:val="21"/>
          <w:szCs w:val="21"/>
          <w:bdr w:val="none" w:color="auto" w:sz="0" w:space="0"/>
          <w:shd w:val="clear" w:fill="FFFFFF"/>
        </w:rPr>
        <w:drawing>
          <wp:inline distT="0" distB="0" distL="114300" distR="114300">
            <wp:extent cx="5273040" cy="7452360"/>
            <wp:effectExtent l="0" t="0" r="0" b="0"/>
            <wp:docPr id="2"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IMG_258"/>
                    <pic:cNvPicPr>
                      <a:picLocks noChangeAspect="1"/>
                    </pic:cNvPicPr>
                  </pic:nvPicPr>
                  <pic:blipFill>
                    <a:blip r:embed="rId6"/>
                    <a:stretch>
                      <a:fillRect/>
                    </a:stretch>
                  </pic:blipFill>
                  <pic:spPr>
                    <a:xfrm>
                      <a:off x="0" y="0"/>
                      <a:ext cx="5273040" cy="7452360"/>
                    </a:xfrm>
                    <a:prstGeom prst="rect">
                      <a:avLst/>
                    </a:prstGeom>
                    <a:noFill/>
                    <a:ln w="9525">
                      <a:noFill/>
                    </a:ln>
                  </pic:spPr>
                </pic:pic>
              </a:graphicData>
            </a:graphic>
          </wp:inline>
        </w:drawing>
      </w:r>
    </w:p>
    <w:p w14:paraId="4918B20F">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Calibri" w:hAnsi="Calibri" w:cs="Calibri"/>
          <w:i w:val="0"/>
          <w:iCs w:val="0"/>
          <w:caps w:val="0"/>
          <w:color w:val="333333"/>
          <w:spacing w:val="0"/>
          <w:sz w:val="21"/>
          <w:szCs w:val="21"/>
        </w:rPr>
      </w:pPr>
      <w:r>
        <w:rPr>
          <w:rFonts w:hint="default" w:ascii="Calibri" w:hAnsi="Calibri" w:cs="Calibri"/>
          <w:i w:val="0"/>
          <w:iCs w:val="0"/>
          <w:caps w:val="0"/>
          <w:color w:val="333333"/>
          <w:spacing w:val="0"/>
          <w:sz w:val="21"/>
          <w:szCs w:val="21"/>
          <w:bdr w:val="none" w:color="auto" w:sz="0" w:space="0"/>
          <w:shd w:val="clear" w:fill="FFFFFF"/>
        </w:rPr>
        <w:t> </w:t>
      </w:r>
    </w:p>
    <w:p w14:paraId="6971F61F">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Calibri" w:hAnsi="Calibri" w:cs="Calibri"/>
          <w:i w:val="0"/>
          <w:iCs w:val="0"/>
          <w:caps w:val="0"/>
          <w:color w:val="333333"/>
          <w:spacing w:val="0"/>
          <w:sz w:val="21"/>
          <w:szCs w:val="21"/>
        </w:rPr>
      </w:pPr>
      <w:r>
        <w:rPr>
          <w:rFonts w:hint="default" w:ascii="Calibri" w:hAnsi="Calibri" w:cs="Calibri"/>
          <w:i w:val="0"/>
          <w:iCs w:val="0"/>
          <w:caps w:val="0"/>
          <w:color w:val="333333"/>
          <w:spacing w:val="0"/>
          <w:sz w:val="21"/>
          <w:szCs w:val="21"/>
          <w:bdr w:val="none" w:color="auto" w:sz="0" w:space="0"/>
          <w:shd w:val="clear" w:fill="FFFFFF"/>
        </w:rPr>
        <w:t> </w:t>
      </w:r>
    </w:p>
    <w:p w14:paraId="1038A0BA">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Calibri" w:hAnsi="Calibri" w:cs="Calibri"/>
          <w:i w:val="0"/>
          <w:iCs w:val="0"/>
          <w:caps w:val="0"/>
          <w:color w:val="333333"/>
          <w:spacing w:val="0"/>
          <w:sz w:val="21"/>
          <w:szCs w:val="21"/>
        </w:rPr>
      </w:pPr>
      <w:r>
        <w:rPr>
          <w:rFonts w:hint="default" w:ascii="Calibri" w:hAnsi="Calibri" w:cs="Calibri"/>
          <w:i w:val="0"/>
          <w:iCs w:val="0"/>
          <w:caps w:val="0"/>
          <w:color w:val="333333"/>
          <w:spacing w:val="0"/>
          <w:sz w:val="21"/>
          <w:szCs w:val="21"/>
          <w:bdr w:val="none" w:color="auto" w:sz="0" w:space="0"/>
          <w:shd w:val="clear" w:fill="FFFFFF"/>
        </w:rPr>
        <w:drawing>
          <wp:inline distT="0" distB="0" distL="114300" distR="114300">
            <wp:extent cx="5273040" cy="7452360"/>
            <wp:effectExtent l="0" t="0" r="0" b="0"/>
            <wp:docPr id="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9"/>
                    <pic:cNvPicPr>
                      <a:picLocks noChangeAspect="1"/>
                    </pic:cNvPicPr>
                  </pic:nvPicPr>
                  <pic:blipFill>
                    <a:blip r:embed="rId7"/>
                    <a:stretch>
                      <a:fillRect/>
                    </a:stretch>
                  </pic:blipFill>
                  <pic:spPr>
                    <a:xfrm>
                      <a:off x="0" y="0"/>
                      <a:ext cx="5273040" cy="7452360"/>
                    </a:xfrm>
                    <a:prstGeom prst="rect">
                      <a:avLst/>
                    </a:prstGeom>
                    <a:noFill/>
                    <a:ln w="9525">
                      <a:noFill/>
                    </a:ln>
                  </pic:spPr>
                </pic:pic>
              </a:graphicData>
            </a:graphic>
          </wp:inline>
        </w:drawing>
      </w:r>
    </w:p>
    <w:p w14:paraId="6F4FDE00">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Calibri" w:hAnsi="Calibri" w:cs="Calibri"/>
          <w:i w:val="0"/>
          <w:iCs w:val="0"/>
          <w:caps w:val="0"/>
          <w:color w:val="333333"/>
          <w:spacing w:val="0"/>
          <w:sz w:val="21"/>
          <w:szCs w:val="21"/>
        </w:rPr>
      </w:pPr>
      <w:r>
        <w:rPr>
          <w:rFonts w:hint="default" w:ascii="Calibri" w:hAnsi="Calibri" w:cs="Calibri"/>
          <w:i w:val="0"/>
          <w:iCs w:val="0"/>
          <w:caps w:val="0"/>
          <w:color w:val="333333"/>
          <w:spacing w:val="0"/>
          <w:sz w:val="21"/>
          <w:szCs w:val="21"/>
          <w:bdr w:val="none" w:color="auto" w:sz="0" w:space="0"/>
          <w:shd w:val="clear" w:fill="FFFFFF"/>
        </w:rPr>
        <w:t> </w:t>
      </w:r>
    </w:p>
    <w:p w14:paraId="3125C54A">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Calibri" w:hAnsi="Calibri" w:cs="Calibri"/>
          <w:i w:val="0"/>
          <w:iCs w:val="0"/>
          <w:caps w:val="0"/>
          <w:color w:val="333333"/>
          <w:spacing w:val="0"/>
          <w:sz w:val="21"/>
          <w:szCs w:val="21"/>
        </w:rPr>
      </w:pPr>
      <w:r>
        <w:rPr>
          <w:rFonts w:hint="default" w:ascii="Calibri" w:hAnsi="Calibri" w:cs="Calibri"/>
          <w:i w:val="0"/>
          <w:iCs w:val="0"/>
          <w:caps w:val="0"/>
          <w:color w:val="333333"/>
          <w:spacing w:val="0"/>
          <w:sz w:val="21"/>
          <w:szCs w:val="21"/>
          <w:bdr w:val="none" w:color="auto" w:sz="0" w:space="0"/>
          <w:shd w:val="clear" w:fill="FFFFFF"/>
        </w:rPr>
        <w:drawing>
          <wp:inline distT="0" distB="0" distL="114300" distR="114300">
            <wp:extent cx="5271135" cy="7447915"/>
            <wp:effectExtent l="0" t="0" r="1905" b="4445"/>
            <wp:docPr id="3"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descr="IMG_260"/>
                    <pic:cNvPicPr>
                      <a:picLocks noChangeAspect="1"/>
                    </pic:cNvPicPr>
                  </pic:nvPicPr>
                  <pic:blipFill>
                    <a:blip r:embed="rId8"/>
                    <a:stretch>
                      <a:fillRect/>
                    </a:stretch>
                  </pic:blipFill>
                  <pic:spPr>
                    <a:xfrm>
                      <a:off x="0" y="0"/>
                      <a:ext cx="5271135" cy="7447915"/>
                    </a:xfrm>
                    <a:prstGeom prst="rect">
                      <a:avLst/>
                    </a:prstGeom>
                    <a:noFill/>
                    <a:ln w="9525">
                      <a:noFill/>
                    </a:ln>
                  </pic:spPr>
                </pic:pic>
              </a:graphicData>
            </a:graphic>
          </wp:inline>
        </w:drawing>
      </w:r>
    </w:p>
    <w:p w14:paraId="24D2BFD4"/>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仿宋_GBK">
    <w:altName w:val="微软雅黑"/>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方正黑体_GBK">
    <w:altName w:val="微软雅黑"/>
    <w:panose1 w:val="00000000000000000000"/>
    <w:charset w:val="00"/>
    <w:family w:val="auto"/>
    <w:pitch w:val="default"/>
    <w:sig w:usb0="00000000" w:usb1="00000000" w:usb2="00000000" w:usb3="00000000" w:csb0="00000000" w:csb1="00000000"/>
  </w:font>
  <w:font w:name="方正小标宋_GBK">
    <w:altName w:val="微软雅黑"/>
    <w:panose1 w:val="00000000000000000000"/>
    <w:charset w:val="00"/>
    <w:family w:val="auto"/>
    <w:pitch w:val="default"/>
    <w:sig w:usb0="00000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4E010A4"/>
    <w:rsid w:val="24E010A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Normal (Web)"/>
    <w:basedOn w:val="1"/>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NUL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6</Pages>
  <Words>0</Words>
  <Characters>0</Characters>
  <Lines>0</Lines>
  <Paragraphs>0</Paragraphs>
  <TotalTime>1</TotalTime>
  <ScaleCrop>false</ScaleCrop>
  <LinksUpToDate>false</LinksUpToDate>
  <CharactersWithSpaces>0</CharactersWithSpaces>
  <Application>WPS Office_12.1.0.22215_F1E327BC-269C-435d-A152-05C5408002CA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2025-09-01T08:05:00Z</dcterms:created>
  <dc:creator>蔓哈</dc:creator>
  <cp:lastModifiedBy>蔓哈</cp:lastModifiedBy>
  <dcterms:modified xsi:type="dcterms:W3CDTF">2025-09-01T08:07:34Z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2052-12.1.0.22215</vt:lpwstr>
  </property>
  <property fmtid="{D5CDD505-2E9C-101B-9397-08002B2CF9AE}" pid="3" name="ICV">
    <vt:lpwstr>9B1050C8B51542A893CAAC40939A57A8_11</vt:lpwstr>
  </property>
  <property fmtid="{D5CDD505-2E9C-101B-9397-08002B2CF9AE}" pid="4" name="KSOTemplateDocerSaveRecord">
    <vt:lpwstr>eyJoZGlkIjoiZjMzZGJjMjdmMzE5OTM2NzExODVlNzk1YWIyM2NmMDMiLCJ1c2VySWQiOiIxMTY4NDI1MjYzIn0=</vt:lpwstr>
  </property>
</Properties>
</file>